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0B3C3" w14:textId="77777777" w:rsidR="00F14197" w:rsidRDefault="00F14197"/>
    <w:tbl>
      <w:tblPr>
        <w:tblStyle w:val="LightList"/>
        <w:tblW w:w="5000" w:type="pct"/>
        <w:tblLook w:val="0020" w:firstRow="1" w:lastRow="0" w:firstColumn="0" w:lastColumn="0" w:noHBand="0" w:noVBand="0"/>
      </w:tblPr>
      <w:tblGrid>
        <w:gridCol w:w="5332"/>
        <w:gridCol w:w="2084"/>
        <w:gridCol w:w="3600"/>
      </w:tblGrid>
      <w:tr w:rsidR="008A4CCD" w:rsidRPr="007961B9" w14:paraId="3D2E9C04" w14:textId="77777777" w:rsidTr="00234002">
        <w:trPr>
          <w:cnfStyle w:val="100000000000" w:firstRow="1" w:lastRow="0" w:firstColumn="0" w:lastColumn="0" w:oddVBand="0" w:evenVBand="0" w:oddHBand="0" w:evenHBand="0" w:firstRowFirstColumn="0" w:firstRowLastColumn="0" w:lastRowFirstColumn="0" w:lastRowLastColumn="0"/>
          <w:trHeight w:val="385"/>
          <w:tblHeader/>
        </w:trPr>
        <w:tc>
          <w:tcPr>
            <w:cnfStyle w:val="000010000000" w:firstRow="0" w:lastRow="0" w:firstColumn="0" w:lastColumn="0" w:oddVBand="1" w:evenVBand="0" w:oddHBand="0" w:evenHBand="0" w:firstRowFirstColumn="0" w:firstRowLastColumn="0" w:lastRowFirstColumn="0" w:lastRowLastColumn="0"/>
            <w:tcW w:w="2420" w:type="pct"/>
            <w:tcBorders>
              <w:top w:val="nil"/>
              <w:left w:val="nil"/>
              <w:bottom w:val="single" w:sz="4" w:space="0" w:color="auto"/>
              <w:right w:val="nil"/>
            </w:tcBorders>
            <w:vAlign w:val="center"/>
          </w:tcPr>
          <w:p w14:paraId="60270431" w14:textId="40241CAC" w:rsidR="007961B9" w:rsidRPr="007961B9" w:rsidRDefault="075848AB" w:rsidP="00CA1C26">
            <w:pPr>
              <w:jc w:val="center"/>
            </w:pPr>
            <w:r>
              <w:t>Step</w:t>
            </w:r>
          </w:p>
        </w:tc>
        <w:tc>
          <w:tcPr>
            <w:tcW w:w="946" w:type="pct"/>
            <w:tcBorders>
              <w:top w:val="nil"/>
              <w:left w:val="nil"/>
              <w:bottom w:val="single" w:sz="4" w:space="0" w:color="auto"/>
              <w:right w:val="nil"/>
            </w:tcBorders>
            <w:vAlign w:val="center"/>
          </w:tcPr>
          <w:p w14:paraId="53D8A770" w14:textId="446CB672" w:rsidR="007961B9" w:rsidRPr="007961B9" w:rsidRDefault="075848AB" w:rsidP="00CA1C26">
            <w:pPr>
              <w:jc w:val="center"/>
              <w:cnfStyle w:val="100000000000" w:firstRow="1" w:lastRow="0" w:firstColumn="0" w:lastColumn="0" w:oddVBand="0" w:evenVBand="0" w:oddHBand="0" w:evenHBand="0" w:firstRowFirstColumn="0" w:firstRowLastColumn="0" w:lastRowFirstColumn="0" w:lastRowLastColumn="0"/>
            </w:pPr>
            <w:r>
              <w:t>Date Completed</w:t>
            </w:r>
          </w:p>
        </w:tc>
        <w:tc>
          <w:tcPr>
            <w:cnfStyle w:val="000010000000" w:firstRow="0" w:lastRow="0" w:firstColumn="0" w:lastColumn="0" w:oddVBand="1" w:evenVBand="0" w:oddHBand="0" w:evenHBand="0" w:firstRowFirstColumn="0" w:firstRowLastColumn="0" w:lastRowFirstColumn="0" w:lastRowLastColumn="0"/>
            <w:tcW w:w="1634" w:type="pct"/>
            <w:tcBorders>
              <w:top w:val="nil"/>
              <w:left w:val="nil"/>
              <w:bottom w:val="single" w:sz="4" w:space="0" w:color="auto"/>
              <w:right w:val="nil"/>
            </w:tcBorders>
            <w:vAlign w:val="center"/>
          </w:tcPr>
          <w:p w14:paraId="399C5326" w14:textId="19A00397" w:rsidR="007961B9" w:rsidRPr="007961B9" w:rsidRDefault="075848AB" w:rsidP="00CA1C26">
            <w:pPr>
              <w:jc w:val="center"/>
            </w:pPr>
            <w:r>
              <w:t>Notes</w:t>
            </w:r>
          </w:p>
        </w:tc>
      </w:tr>
      <w:tr w:rsidR="00BA010A" w:rsidRPr="006924E2" w14:paraId="66D54959" w14:textId="77777777" w:rsidTr="00234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262D91F3" w14:textId="5C5864A4" w:rsidR="00BA010A" w:rsidRPr="006924E2" w:rsidRDefault="075848AB" w:rsidP="00CE2158">
            <w:pPr>
              <w:pStyle w:val="ListParagraph"/>
              <w:numPr>
                <w:ilvl w:val="0"/>
                <w:numId w:val="1"/>
              </w:numPr>
              <w:spacing w:before="120" w:after="120"/>
              <w:contextualSpacing w:val="0"/>
            </w:pPr>
            <w:r>
              <w:t xml:space="preserve">Students preparing for the Comprehensive Exams </w:t>
            </w:r>
            <w:r w:rsidRPr="075848AB">
              <w:rPr>
                <w:b/>
                <w:bCs/>
                <w:i/>
                <w:iCs/>
              </w:rPr>
              <w:t xml:space="preserve">must have an approved Doctoral Plan of Study in </w:t>
            </w:r>
            <w:proofErr w:type="spellStart"/>
            <w:r w:rsidRPr="075848AB">
              <w:rPr>
                <w:b/>
                <w:bCs/>
                <w:i/>
                <w:iCs/>
              </w:rPr>
              <w:t>GradPath</w:t>
            </w:r>
            <w:proofErr w:type="spellEnd"/>
            <w:r>
              <w:t>. Confirm this with the Academic Program Coordinator (APC).</w:t>
            </w:r>
          </w:p>
        </w:tc>
        <w:tc>
          <w:tcPr>
            <w:tcW w:w="946" w:type="pct"/>
            <w:tcBorders>
              <w:top w:val="single" w:sz="4" w:space="0" w:color="auto"/>
              <w:left w:val="single" w:sz="4" w:space="0" w:color="auto"/>
              <w:bottom w:val="single" w:sz="4" w:space="0" w:color="auto"/>
              <w:right w:val="single" w:sz="4" w:space="0" w:color="auto"/>
            </w:tcBorders>
          </w:tcPr>
          <w:p w14:paraId="3D44D1A6" w14:textId="77777777" w:rsidR="00BA010A" w:rsidRPr="006924E2" w:rsidRDefault="00BA010A" w:rsidP="0046408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142B93E4" w14:textId="77777777" w:rsidR="00BA010A" w:rsidRPr="006924E2" w:rsidRDefault="00BA010A" w:rsidP="0046408B"/>
        </w:tc>
      </w:tr>
      <w:tr w:rsidR="006924E2" w:rsidRPr="006924E2" w14:paraId="6B406893" w14:textId="6635E2B5" w:rsidTr="00234002">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47FDB61E" w14:textId="25510FED" w:rsidR="006924E2" w:rsidRPr="006924E2" w:rsidRDefault="075848AB" w:rsidP="00F14197">
            <w:pPr>
              <w:pStyle w:val="ListParagraph"/>
              <w:numPr>
                <w:ilvl w:val="0"/>
                <w:numId w:val="1"/>
              </w:numPr>
              <w:spacing w:before="120" w:after="120"/>
            </w:pPr>
            <w:r>
              <w:t xml:space="preserve">Students should </w:t>
            </w:r>
            <w:r w:rsidRPr="075848AB">
              <w:rPr>
                <w:b/>
                <w:bCs/>
                <w:i/>
                <w:iCs/>
              </w:rPr>
              <w:t xml:space="preserve">read the GWS Graduate Handbook </w:t>
            </w:r>
            <w:r>
              <w:t>section on “Comprehensive Examination for Doctoral Candidacy” and meet with the Director of Graduate Studies (DGS) if they have any questions about the process of preparing for and taking their Comprehensive Exams.</w:t>
            </w:r>
          </w:p>
        </w:tc>
        <w:tc>
          <w:tcPr>
            <w:tcW w:w="946" w:type="pct"/>
            <w:tcBorders>
              <w:top w:val="single" w:sz="4" w:space="0" w:color="auto"/>
              <w:left w:val="single" w:sz="4" w:space="0" w:color="auto"/>
              <w:bottom w:val="single" w:sz="4" w:space="0" w:color="auto"/>
              <w:right w:val="single" w:sz="4" w:space="0" w:color="auto"/>
            </w:tcBorders>
          </w:tcPr>
          <w:p w14:paraId="500F53CA" w14:textId="77777777" w:rsidR="006924E2" w:rsidRPr="006924E2" w:rsidRDefault="006924E2" w:rsidP="007961B9">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3C472DF8" w14:textId="77777777" w:rsidR="006924E2" w:rsidRPr="006924E2" w:rsidRDefault="006924E2" w:rsidP="006924E2"/>
        </w:tc>
      </w:tr>
      <w:tr w:rsidR="006924E2" w:rsidRPr="006924E2" w14:paraId="1762B327" w14:textId="5A15A4F1" w:rsidTr="00234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15A5DED8" w14:textId="32EE7D2C" w:rsidR="006924E2" w:rsidRPr="006924E2" w:rsidRDefault="075848AB" w:rsidP="00F14197">
            <w:pPr>
              <w:pStyle w:val="ListParagraph"/>
              <w:numPr>
                <w:ilvl w:val="0"/>
                <w:numId w:val="1"/>
              </w:numPr>
              <w:spacing w:before="120" w:after="120"/>
            </w:pPr>
            <w:r>
              <w:t>While preparing for the Comprehensive Exams and during the semester in which the Student undergoes the Written Exam, they should enroll either in regular courses or in Independent Studies with their Chair. Upon passing the Written Exam, the Student is eligible to begin enrolling in Dissertation units the following semester.</w:t>
            </w:r>
          </w:p>
        </w:tc>
        <w:tc>
          <w:tcPr>
            <w:tcW w:w="946" w:type="pct"/>
            <w:tcBorders>
              <w:top w:val="single" w:sz="4" w:space="0" w:color="auto"/>
              <w:left w:val="single" w:sz="4" w:space="0" w:color="auto"/>
              <w:bottom w:val="single" w:sz="4" w:space="0" w:color="auto"/>
              <w:right w:val="single" w:sz="4" w:space="0" w:color="auto"/>
            </w:tcBorders>
          </w:tcPr>
          <w:p w14:paraId="2DE50FE0"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0B6597AE" w14:textId="77777777" w:rsidR="006924E2" w:rsidRPr="006924E2" w:rsidRDefault="006924E2" w:rsidP="006924E2"/>
        </w:tc>
      </w:tr>
      <w:tr w:rsidR="006924E2" w:rsidRPr="006924E2" w14:paraId="7BD16706" w14:textId="5378B7CA" w:rsidTr="00234002">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407FA45D" w14:textId="5968343E" w:rsidR="006924E2" w:rsidRPr="006924E2" w:rsidRDefault="075848AB" w:rsidP="00F14197">
            <w:pPr>
              <w:pStyle w:val="ListParagraph"/>
              <w:numPr>
                <w:ilvl w:val="0"/>
                <w:numId w:val="1"/>
              </w:numPr>
              <w:spacing w:before="120" w:after="120"/>
            </w:pPr>
            <w:r>
              <w:t>The Student should select a Committee Chair and 3 additional faculty to serve as the Comprehensive Examination Committee. See the GWS Graduate Handbook for eligibility requirements for Examination Committee Chairs and Committee Members.</w:t>
            </w:r>
          </w:p>
        </w:tc>
        <w:tc>
          <w:tcPr>
            <w:tcW w:w="946" w:type="pct"/>
            <w:tcBorders>
              <w:top w:val="single" w:sz="4" w:space="0" w:color="auto"/>
              <w:left w:val="single" w:sz="4" w:space="0" w:color="auto"/>
              <w:bottom w:val="single" w:sz="4" w:space="0" w:color="auto"/>
              <w:right w:val="single" w:sz="4" w:space="0" w:color="auto"/>
            </w:tcBorders>
          </w:tcPr>
          <w:p w14:paraId="3501D2AE"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592FA875" w14:textId="77777777" w:rsidR="006924E2" w:rsidRPr="006924E2" w:rsidRDefault="006924E2" w:rsidP="006924E2"/>
        </w:tc>
      </w:tr>
      <w:tr w:rsidR="006924E2" w:rsidRPr="006924E2" w14:paraId="293C88DD" w14:textId="145E75CF" w:rsidTr="00234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2B6A549B" w14:textId="75F99E97" w:rsidR="006924E2" w:rsidRPr="006924E2" w:rsidRDefault="075848AB" w:rsidP="00677541">
            <w:pPr>
              <w:pStyle w:val="ListParagraph"/>
              <w:numPr>
                <w:ilvl w:val="0"/>
                <w:numId w:val="1"/>
              </w:numPr>
              <w:spacing w:before="120" w:after="120"/>
            </w:pPr>
            <w:r>
              <w:t xml:space="preserve">The Student should work with the APC to </w:t>
            </w:r>
            <w:r w:rsidRPr="075848AB">
              <w:rPr>
                <w:b/>
                <w:bCs/>
                <w:i/>
                <w:iCs/>
              </w:rPr>
              <w:t>secure Graduate College approval</w:t>
            </w:r>
            <w:r>
              <w:t xml:space="preserve"> for any potential Committee Members who is </w:t>
            </w:r>
            <w:r w:rsidRPr="075848AB">
              <w:rPr>
                <w:u w:val="single"/>
              </w:rPr>
              <w:t>not</w:t>
            </w:r>
            <w:r>
              <w:t xml:space="preserve"> tenured or tenure-track faculty at the University of Arizona.</w:t>
            </w:r>
          </w:p>
        </w:tc>
        <w:tc>
          <w:tcPr>
            <w:tcW w:w="946" w:type="pct"/>
            <w:tcBorders>
              <w:top w:val="single" w:sz="4" w:space="0" w:color="auto"/>
              <w:left w:val="single" w:sz="4" w:space="0" w:color="auto"/>
              <w:bottom w:val="single" w:sz="4" w:space="0" w:color="auto"/>
              <w:right w:val="single" w:sz="4" w:space="0" w:color="auto"/>
            </w:tcBorders>
          </w:tcPr>
          <w:p w14:paraId="6112BF56"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06DA4FDC" w14:textId="77777777" w:rsidR="006924E2" w:rsidRPr="006924E2" w:rsidRDefault="006924E2" w:rsidP="006924E2"/>
        </w:tc>
      </w:tr>
      <w:tr w:rsidR="006924E2" w:rsidRPr="006924E2" w14:paraId="54F9AF03" w14:textId="00364D3E" w:rsidTr="00234002">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125B55DD" w14:textId="330478CA" w:rsidR="006924E2" w:rsidRPr="006924E2" w:rsidRDefault="075848AB" w:rsidP="00F14197">
            <w:pPr>
              <w:pStyle w:val="ListParagraph"/>
              <w:numPr>
                <w:ilvl w:val="0"/>
                <w:numId w:val="1"/>
              </w:numPr>
              <w:spacing w:before="120" w:after="120"/>
            </w:pPr>
            <w:r>
              <w:t xml:space="preserve">Once the Committee is formed and any special members approved by Graduate College, the Student must </w:t>
            </w:r>
            <w:r w:rsidRPr="075848AB">
              <w:rPr>
                <w:b/>
                <w:bCs/>
                <w:i/>
                <w:iCs/>
              </w:rPr>
              <w:t xml:space="preserve">fill out the “Comp Exam Committee Appointment Form” in </w:t>
            </w:r>
            <w:proofErr w:type="spellStart"/>
            <w:r w:rsidRPr="075848AB">
              <w:rPr>
                <w:b/>
                <w:bCs/>
                <w:i/>
                <w:iCs/>
              </w:rPr>
              <w:t>GradPath</w:t>
            </w:r>
            <w:proofErr w:type="spellEnd"/>
            <w:r>
              <w:t>.</w:t>
            </w:r>
          </w:p>
        </w:tc>
        <w:tc>
          <w:tcPr>
            <w:tcW w:w="946" w:type="pct"/>
            <w:tcBorders>
              <w:top w:val="single" w:sz="4" w:space="0" w:color="auto"/>
              <w:left w:val="single" w:sz="4" w:space="0" w:color="auto"/>
              <w:bottom w:val="single" w:sz="4" w:space="0" w:color="auto"/>
              <w:right w:val="single" w:sz="4" w:space="0" w:color="auto"/>
            </w:tcBorders>
          </w:tcPr>
          <w:p w14:paraId="583214C5"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3E3DFE58" w14:textId="77777777" w:rsidR="006924E2" w:rsidRPr="006924E2" w:rsidRDefault="006924E2" w:rsidP="006924E2"/>
        </w:tc>
      </w:tr>
      <w:tr w:rsidR="006924E2" w:rsidRPr="006924E2" w14:paraId="0B983073" w14:textId="6B533FFF" w:rsidTr="00234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09BBFAFB" w14:textId="24083069" w:rsidR="006924E2" w:rsidRPr="006924E2" w:rsidRDefault="075848AB" w:rsidP="00F14197">
            <w:pPr>
              <w:pStyle w:val="ListParagraph"/>
              <w:numPr>
                <w:ilvl w:val="0"/>
                <w:numId w:val="1"/>
              </w:numPr>
              <w:spacing w:before="120" w:after="120"/>
            </w:pPr>
            <w:r>
              <w:t xml:space="preserve">The Student should work with their Chair and Committee to develop Reading Lists and List Narrative for three (3) appropriate fields. </w:t>
            </w:r>
          </w:p>
        </w:tc>
        <w:tc>
          <w:tcPr>
            <w:tcW w:w="946" w:type="pct"/>
            <w:tcBorders>
              <w:top w:val="single" w:sz="4" w:space="0" w:color="auto"/>
              <w:left w:val="single" w:sz="4" w:space="0" w:color="auto"/>
              <w:bottom w:val="single" w:sz="4" w:space="0" w:color="auto"/>
              <w:right w:val="single" w:sz="4" w:space="0" w:color="auto"/>
            </w:tcBorders>
          </w:tcPr>
          <w:p w14:paraId="6973EA26"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73CB138B" w14:textId="77777777" w:rsidR="006924E2" w:rsidRPr="006924E2" w:rsidRDefault="006924E2" w:rsidP="006924E2"/>
        </w:tc>
      </w:tr>
      <w:tr w:rsidR="006924E2" w:rsidRPr="006924E2" w14:paraId="2D91A473" w14:textId="50B9A9B7" w:rsidTr="00234002">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68876745" w14:textId="5D47C0AB" w:rsidR="006924E2" w:rsidRPr="006924E2" w:rsidRDefault="075848AB" w:rsidP="00160A50">
            <w:pPr>
              <w:pStyle w:val="ListParagraph"/>
              <w:numPr>
                <w:ilvl w:val="0"/>
                <w:numId w:val="1"/>
              </w:numPr>
              <w:spacing w:before="120" w:after="120"/>
            </w:pPr>
            <w:r>
              <w:lastRenderedPageBreak/>
              <w:t xml:space="preserve">The Reading Lists and Narrative must be </w:t>
            </w:r>
            <w:r w:rsidRPr="075848AB">
              <w:rPr>
                <w:b/>
                <w:bCs/>
                <w:i/>
                <w:iCs/>
              </w:rPr>
              <w:t>approved by the entire Committee</w:t>
            </w:r>
            <w:r>
              <w:t>. Ideally, lists should be approved at least 6 weeks prior to the start of the Written Exam.</w:t>
            </w:r>
          </w:p>
        </w:tc>
        <w:tc>
          <w:tcPr>
            <w:tcW w:w="946" w:type="pct"/>
            <w:tcBorders>
              <w:top w:val="single" w:sz="4" w:space="0" w:color="auto"/>
              <w:left w:val="single" w:sz="4" w:space="0" w:color="auto"/>
              <w:bottom w:val="single" w:sz="4" w:space="0" w:color="auto"/>
              <w:right w:val="single" w:sz="4" w:space="0" w:color="auto"/>
            </w:tcBorders>
          </w:tcPr>
          <w:p w14:paraId="27FDDC78"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7DB0B2CF" w14:textId="77777777" w:rsidR="006924E2" w:rsidRPr="006924E2" w:rsidRDefault="006924E2" w:rsidP="006924E2"/>
        </w:tc>
      </w:tr>
      <w:tr w:rsidR="006924E2" w:rsidRPr="006924E2" w14:paraId="12B56592" w14:textId="7EC8AD86" w:rsidTr="00234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475E9636" w14:textId="0B1CB822" w:rsidR="006924E2" w:rsidRPr="006924E2" w:rsidRDefault="075848AB" w:rsidP="00F14197">
            <w:pPr>
              <w:pStyle w:val="ListParagraph"/>
              <w:numPr>
                <w:ilvl w:val="0"/>
                <w:numId w:val="1"/>
              </w:numPr>
              <w:spacing w:before="120" w:after="120"/>
            </w:pPr>
            <w:r>
              <w:t>The Student must</w:t>
            </w:r>
            <w:r w:rsidRPr="075848AB">
              <w:rPr>
                <w:b/>
                <w:bCs/>
                <w:i/>
                <w:iCs/>
              </w:rPr>
              <w:t xml:space="preserve"> submit the approved Reading Lists and Narrative</w:t>
            </w:r>
            <w:r>
              <w:t xml:space="preserve"> </w:t>
            </w:r>
            <w:r w:rsidRPr="075848AB">
              <w:rPr>
                <w:b/>
                <w:bCs/>
                <w:i/>
                <w:iCs/>
              </w:rPr>
              <w:t>to the APC</w:t>
            </w:r>
            <w:r>
              <w:t xml:space="preserve"> before the beginning of the Written Exam.</w:t>
            </w:r>
          </w:p>
        </w:tc>
        <w:tc>
          <w:tcPr>
            <w:tcW w:w="946" w:type="pct"/>
            <w:tcBorders>
              <w:top w:val="single" w:sz="4" w:space="0" w:color="auto"/>
              <w:left w:val="single" w:sz="4" w:space="0" w:color="auto"/>
              <w:bottom w:val="single" w:sz="4" w:space="0" w:color="auto"/>
              <w:right w:val="single" w:sz="4" w:space="0" w:color="auto"/>
            </w:tcBorders>
          </w:tcPr>
          <w:p w14:paraId="7A31A498"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73B5F778" w14:textId="77777777" w:rsidR="006924E2" w:rsidRPr="006924E2" w:rsidRDefault="006924E2" w:rsidP="006924E2"/>
        </w:tc>
      </w:tr>
      <w:tr w:rsidR="006924E2" w:rsidRPr="006924E2" w14:paraId="0E8ED72C" w14:textId="26E3B84C" w:rsidTr="00234002">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54063E3F" w14:textId="4C4ED4FC" w:rsidR="006924E2" w:rsidRPr="006924E2" w:rsidRDefault="075848AB" w:rsidP="00F14197">
            <w:pPr>
              <w:pStyle w:val="ListParagraph"/>
              <w:numPr>
                <w:ilvl w:val="0"/>
                <w:numId w:val="1"/>
              </w:numPr>
              <w:spacing w:before="120" w:after="120"/>
            </w:pPr>
            <w:r>
              <w:t xml:space="preserve">At the earliest opportunity, the Student should </w:t>
            </w:r>
            <w:r w:rsidRPr="075848AB">
              <w:rPr>
                <w:b/>
                <w:bCs/>
                <w:i/>
                <w:iCs/>
              </w:rPr>
              <w:t>inform the APC and the DGS about the dates of the Written Exam</w:t>
            </w:r>
            <w:r>
              <w:t>. If the Oral Exam has been scheduled in advance, please include that information as well.</w:t>
            </w:r>
          </w:p>
        </w:tc>
        <w:tc>
          <w:tcPr>
            <w:tcW w:w="946" w:type="pct"/>
            <w:tcBorders>
              <w:top w:val="single" w:sz="4" w:space="0" w:color="auto"/>
              <w:left w:val="single" w:sz="4" w:space="0" w:color="auto"/>
              <w:bottom w:val="single" w:sz="4" w:space="0" w:color="auto"/>
              <w:right w:val="single" w:sz="4" w:space="0" w:color="auto"/>
            </w:tcBorders>
          </w:tcPr>
          <w:p w14:paraId="38D6BA04"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0921FF46" w14:textId="77777777" w:rsidR="006924E2" w:rsidRPr="006924E2" w:rsidRDefault="006924E2" w:rsidP="006924E2"/>
        </w:tc>
      </w:tr>
      <w:tr w:rsidR="006924E2" w:rsidRPr="006924E2" w14:paraId="1C7D5383" w14:textId="784AD4BA" w:rsidTr="00234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18E1761F" w14:textId="4AE9E578" w:rsidR="006924E2" w:rsidRPr="006924E2" w:rsidRDefault="075848AB" w:rsidP="00F14197">
            <w:pPr>
              <w:pStyle w:val="ListParagraph"/>
              <w:numPr>
                <w:ilvl w:val="0"/>
                <w:numId w:val="1"/>
              </w:numPr>
              <w:spacing w:before="120" w:after="120"/>
            </w:pPr>
            <w:r>
              <w:t xml:space="preserve">The </w:t>
            </w:r>
            <w:r w:rsidRPr="075848AB">
              <w:rPr>
                <w:u w:val="single"/>
              </w:rPr>
              <w:t>Chair</w:t>
            </w:r>
            <w:r>
              <w:t xml:space="preserve"> must </w:t>
            </w:r>
            <w:r w:rsidRPr="075848AB">
              <w:rPr>
                <w:b/>
                <w:bCs/>
                <w:i/>
                <w:iCs/>
              </w:rPr>
              <w:t>provide a copy of the Written Examination to the APC</w:t>
            </w:r>
            <w:r>
              <w:t xml:space="preserve"> at the start of the Exam.</w:t>
            </w:r>
          </w:p>
        </w:tc>
        <w:tc>
          <w:tcPr>
            <w:tcW w:w="946" w:type="pct"/>
            <w:tcBorders>
              <w:top w:val="single" w:sz="4" w:space="0" w:color="auto"/>
              <w:left w:val="single" w:sz="4" w:space="0" w:color="auto"/>
              <w:bottom w:val="single" w:sz="4" w:space="0" w:color="auto"/>
              <w:right w:val="single" w:sz="4" w:space="0" w:color="auto"/>
            </w:tcBorders>
          </w:tcPr>
          <w:p w14:paraId="59CC18E0"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69CFDB87" w14:textId="77777777" w:rsidR="006924E2" w:rsidRPr="006924E2" w:rsidRDefault="006924E2" w:rsidP="006924E2"/>
        </w:tc>
      </w:tr>
      <w:tr w:rsidR="006924E2" w:rsidRPr="006924E2" w14:paraId="172FE649" w14:textId="6625C2E6" w:rsidTr="00234002">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0EF990AD" w14:textId="64373B66" w:rsidR="006924E2" w:rsidRPr="006924E2" w:rsidRDefault="075848AB" w:rsidP="00885273">
            <w:pPr>
              <w:pStyle w:val="ListParagraph"/>
              <w:numPr>
                <w:ilvl w:val="0"/>
                <w:numId w:val="1"/>
              </w:numPr>
              <w:spacing w:before="120" w:after="120"/>
            </w:pPr>
            <w:r>
              <w:t xml:space="preserve">The Student must </w:t>
            </w:r>
            <w:r w:rsidRPr="075848AB">
              <w:rPr>
                <w:b/>
                <w:bCs/>
                <w:i/>
                <w:iCs/>
              </w:rPr>
              <w:t>submit the completed exam to the APC and the Committee Chair</w:t>
            </w:r>
            <w:r>
              <w:t xml:space="preserve"> no later than 21 calendar days after the start date.</w:t>
            </w:r>
          </w:p>
        </w:tc>
        <w:tc>
          <w:tcPr>
            <w:tcW w:w="946" w:type="pct"/>
            <w:tcBorders>
              <w:top w:val="single" w:sz="4" w:space="0" w:color="auto"/>
              <w:left w:val="single" w:sz="4" w:space="0" w:color="auto"/>
              <w:bottom w:val="single" w:sz="4" w:space="0" w:color="auto"/>
              <w:right w:val="single" w:sz="4" w:space="0" w:color="auto"/>
            </w:tcBorders>
          </w:tcPr>
          <w:p w14:paraId="79EF76EE"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51B2F13B" w14:textId="77777777" w:rsidR="006924E2" w:rsidRPr="006924E2" w:rsidRDefault="006924E2" w:rsidP="006924E2"/>
        </w:tc>
      </w:tr>
      <w:tr w:rsidR="006924E2" w:rsidRPr="006924E2" w14:paraId="22F717B2" w14:textId="58DD520D" w:rsidTr="00234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23A24328" w14:textId="4F9E0841" w:rsidR="006924E2" w:rsidRPr="006924E2" w:rsidRDefault="075848AB" w:rsidP="00F14197">
            <w:pPr>
              <w:pStyle w:val="ListParagraph"/>
              <w:numPr>
                <w:ilvl w:val="0"/>
                <w:numId w:val="1"/>
              </w:numPr>
              <w:spacing w:before="120" w:after="120"/>
            </w:pPr>
            <w:r>
              <w:t>The APC will forward the Student’s exam to the Committee within 2 business days. The Committee has 14 calendar days after receipt of the Student’s exam to provide votes to the Committee Chair.</w:t>
            </w:r>
          </w:p>
        </w:tc>
        <w:tc>
          <w:tcPr>
            <w:tcW w:w="946" w:type="pct"/>
            <w:tcBorders>
              <w:top w:val="single" w:sz="4" w:space="0" w:color="auto"/>
              <w:left w:val="single" w:sz="4" w:space="0" w:color="auto"/>
              <w:bottom w:val="single" w:sz="4" w:space="0" w:color="auto"/>
              <w:right w:val="single" w:sz="4" w:space="0" w:color="auto"/>
            </w:tcBorders>
          </w:tcPr>
          <w:p w14:paraId="42747EA5"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3DA1B2F6" w14:textId="77777777" w:rsidR="006924E2" w:rsidRPr="006924E2" w:rsidRDefault="006924E2" w:rsidP="006924E2"/>
        </w:tc>
      </w:tr>
      <w:tr w:rsidR="006924E2" w:rsidRPr="006924E2" w14:paraId="5BD82C03" w14:textId="7F5B52F7" w:rsidTr="00234002">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7C54CA0C" w14:textId="1F4E0E1D" w:rsidR="006924E2" w:rsidRPr="006924E2" w:rsidRDefault="075848AB" w:rsidP="00F14197">
            <w:pPr>
              <w:pStyle w:val="ListParagraph"/>
              <w:numPr>
                <w:ilvl w:val="0"/>
                <w:numId w:val="1"/>
              </w:numPr>
              <w:spacing w:before="120" w:after="120"/>
            </w:pPr>
            <w:r>
              <w:t xml:space="preserve">The </w:t>
            </w:r>
            <w:r w:rsidRPr="075848AB">
              <w:rPr>
                <w:u w:val="single"/>
              </w:rPr>
              <w:t>Chair</w:t>
            </w:r>
            <w:r>
              <w:t xml:space="preserve"> should </w:t>
            </w:r>
            <w:r w:rsidRPr="075848AB">
              <w:rPr>
                <w:b/>
                <w:bCs/>
                <w:i/>
                <w:iCs/>
              </w:rPr>
              <w:t>include the DGS and the APC when communicating the results</w:t>
            </w:r>
            <w:r>
              <w:t xml:space="preserve"> of the Written Exam to the Student.</w:t>
            </w:r>
          </w:p>
        </w:tc>
        <w:tc>
          <w:tcPr>
            <w:tcW w:w="946" w:type="pct"/>
            <w:tcBorders>
              <w:top w:val="single" w:sz="4" w:space="0" w:color="auto"/>
              <w:left w:val="single" w:sz="4" w:space="0" w:color="auto"/>
              <w:bottom w:val="single" w:sz="4" w:space="0" w:color="auto"/>
              <w:right w:val="single" w:sz="4" w:space="0" w:color="auto"/>
            </w:tcBorders>
          </w:tcPr>
          <w:p w14:paraId="3CD8170D"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6D8AD87F" w14:textId="77777777" w:rsidR="006924E2" w:rsidRPr="006924E2" w:rsidRDefault="006924E2" w:rsidP="006924E2"/>
        </w:tc>
      </w:tr>
      <w:tr w:rsidR="006924E2" w:rsidRPr="006924E2" w14:paraId="750A3B86" w14:textId="02A06944" w:rsidTr="00234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nil"/>
            </w:tcBorders>
          </w:tcPr>
          <w:p w14:paraId="0F1D6076" w14:textId="23747430" w:rsidR="001D38DB" w:rsidRPr="00CA1C26" w:rsidRDefault="075848AB" w:rsidP="075848AB">
            <w:pPr>
              <w:spacing w:before="120" w:after="120"/>
              <w:rPr>
                <w:b/>
                <w:bCs/>
              </w:rPr>
            </w:pPr>
            <w:r w:rsidRPr="075848AB">
              <w:rPr>
                <w:b/>
                <w:bCs/>
              </w:rPr>
              <w:t>Should the Student PASS the Written Exam –</w:t>
            </w:r>
          </w:p>
        </w:tc>
        <w:tc>
          <w:tcPr>
            <w:tcW w:w="946" w:type="pct"/>
            <w:tcBorders>
              <w:top w:val="single" w:sz="4" w:space="0" w:color="auto"/>
              <w:left w:val="nil"/>
              <w:bottom w:val="single" w:sz="4" w:space="0" w:color="auto"/>
              <w:right w:val="nil"/>
            </w:tcBorders>
          </w:tcPr>
          <w:p w14:paraId="1A16497C"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nil"/>
              <w:bottom w:val="single" w:sz="4" w:space="0" w:color="auto"/>
              <w:right w:val="nil"/>
            </w:tcBorders>
          </w:tcPr>
          <w:p w14:paraId="5EF3032F" w14:textId="77777777" w:rsidR="006924E2" w:rsidRPr="006924E2" w:rsidRDefault="006924E2" w:rsidP="006924E2"/>
        </w:tc>
      </w:tr>
      <w:tr w:rsidR="006924E2" w:rsidRPr="006924E2" w14:paraId="527DF7FE" w14:textId="2BCE05BC" w:rsidTr="00234002">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249A6769" w14:textId="33CEF095" w:rsidR="006924E2" w:rsidRPr="006924E2" w:rsidRDefault="075848AB" w:rsidP="00F14197">
            <w:pPr>
              <w:pStyle w:val="ListParagraph"/>
              <w:numPr>
                <w:ilvl w:val="0"/>
                <w:numId w:val="1"/>
              </w:numPr>
              <w:spacing w:before="120" w:after="120"/>
            </w:pPr>
            <w:r>
              <w:t xml:space="preserve">The Student should work with the Committee to </w:t>
            </w:r>
            <w:r w:rsidRPr="075848AB">
              <w:rPr>
                <w:b/>
                <w:bCs/>
                <w:i/>
                <w:iCs/>
              </w:rPr>
              <w:t>set a date and time for the Oral Exam</w:t>
            </w:r>
            <w:r>
              <w:t xml:space="preserve">. The Oral Exam may be scheduled no sooner than 7 calendar days after receiving notice of the Written Exam </w:t>
            </w:r>
            <w:proofErr w:type="gramStart"/>
            <w:r>
              <w:t>results, and</w:t>
            </w:r>
            <w:proofErr w:type="gramEnd"/>
            <w:r>
              <w:t xml:space="preserve"> must be scheduled within 6 months. The Oral Exam should be scheduled to last 3 hours (though it may last as little as one hour).</w:t>
            </w:r>
          </w:p>
        </w:tc>
        <w:tc>
          <w:tcPr>
            <w:tcW w:w="946" w:type="pct"/>
            <w:tcBorders>
              <w:top w:val="single" w:sz="4" w:space="0" w:color="auto"/>
              <w:left w:val="single" w:sz="4" w:space="0" w:color="auto"/>
              <w:bottom w:val="single" w:sz="4" w:space="0" w:color="auto"/>
              <w:right w:val="single" w:sz="4" w:space="0" w:color="auto"/>
            </w:tcBorders>
          </w:tcPr>
          <w:p w14:paraId="04EDAD2D"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19BEB7BE" w14:textId="77777777" w:rsidR="006924E2" w:rsidRPr="006924E2" w:rsidRDefault="006924E2" w:rsidP="006924E2"/>
        </w:tc>
      </w:tr>
      <w:tr w:rsidR="006924E2" w:rsidRPr="006924E2" w14:paraId="187FBBDB" w14:textId="449BC193" w:rsidTr="00234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459FA4BD" w14:textId="24F0532E" w:rsidR="00B8491A" w:rsidRPr="006924E2" w:rsidRDefault="075848AB" w:rsidP="00B8491A">
            <w:pPr>
              <w:pStyle w:val="ListParagraph"/>
              <w:numPr>
                <w:ilvl w:val="0"/>
                <w:numId w:val="1"/>
              </w:numPr>
              <w:spacing w:before="120" w:after="120"/>
            </w:pPr>
            <w:r>
              <w:t xml:space="preserve">As soon as the date and time of the Oral Exam are set, the Student should work with the APC to </w:t>
            </w:r>
            <w:r w:rsidRPr="075848AB">
              <w:rPr>
                <w:b/>
                <w:bCs/>
                <w:i/>
                <w:iCs/>
              </w:rPr>
              <w:t>schedule a location</w:t>
            </w:r>
            <w:r>
              <w:t>.</w:t>
            </w:r>
          </w:p>
        </w:tc>
        <w:tc>
          <w:tcPr>
            <w:tcW w:w="946" w:type="pct"/>
            <w:tcBorders>
              <w:top w:val="single" w:sz="4" w:space="0" w:color="auto"/>
              <w:left w:val="single" w:sz="4" w:space="0" w:color="auto"/>
              <w:bottom w:val="single" w:sz="4" w:space="0" w:color="auto"/>
              <w:right w:val="single" w:sz="4" w:space="0" w:color="auto"/>
            </w:tcBorders>
          </w:tcPr>
          <w:p w14:paraId="401E7DE4"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265DFE2B" w14:textId="77777777" w:rsidR="006924E2" w:rsidRPr="006924E2" w:rsidRDefault="006924E2" w:rsidP="006924E2"/>
        </w:tc>
      </w:tr>
      <w:tr w:rsidR="006924E2" w:rsidRPr="006924E2" w14:paraId="4DB38C27" w14:textId="7EEC8252" w:rsidTr="00234002">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77568830" w14:textId="5A7C4B8E" w:rsidR="006924E2" w:rsidRPr="005978B5" w:rsidRDefault="075848AB" w:rsidP="00F14197">
            <w:pPr>
              <w:pStyle w:val="ListParagraph"/>
              <w:numPr>
                <w:ilvl w:val="0"/>
                <w:numId w:val="1"/>
              </w:numPr>
              <w:spacing w:before="120" w:after="120"/>
            </w:pPr>
            <w:r>
              <w:lastRenderedPageBreak/>
              <w:t xml:space="preserve">As soon as possible and at least 48 hours prior to the Oral Exam, the Student must </w:t>
            </w:r>
            <w:r w:rsidRPr="075848AB">
              <w:rPr>
                <w:b/>
                <w:bCs/>
                <w:i/>
                <w:iCs/>
              </w:rPr>
              <w:t xml:space="preserve">fill out the “Announcement of Doctoral Comprehensive Exam Form” in </w:t>
            </w:r>
            <w:proofErr w:type="spellStart"/>
            <w:r w:rsidRPr="075848AB">
              <w:rPr>
                <w:b/>
                <w:bCs/>
                <w:i/>
                <w:iCs/>
              </w:rPr>
              <w:t>GradPath</w:t>
            </w:r>
            <w:proofErr w:type="spellEnd"/>
            <w:r>
              <w:t xml:space="preserve">. Doing so will generate an automated email to the Chair that includes a link for reporting the results of the Oral Exam in </w:t>
            </w:r>
            <w:proofErr w:type="spellStart"/>
            <w:r>
              <w:t>GradPath</w:t>
            </w:r>
            <w:proofErr w:type="spellEnd"/>
            <w:r>
              <w:t>.</w:t>
            </w:r>
          </w:p>
        </w:tc>
        <w:tc>
          <w:tcPr>
            <w:tcW w:w="946" w:type="pct"/>
            <w:tcBorders>
              <w:top w:val="single" w:sz="4" w:space="0" w:color="auto"/>
              <w:left w:val="single" w:sz="4" w:space="0" w:color="auto"/>
              <w:bottom w:val="single" w:sz="4" w:space="0" w:color="auto"/>
              <w:right w:val="single" w:sz="4" w:space="0" w:color="auto"/>
            </w:tcBorders>
          </w:tcPr>
          <w:p w14:paraId="132309C3"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525087A9" w14:textId="77777777" w:rsidR="006924E2" w:rsidRPr="006924E2" w:rsidRDefault="006924E2" w:rsidP="006924E2">
            <w:bookmarkStart w:id="0" w:name="_GoBack"/>
            <w:bookmarkEnd w:id="0"/>
          </w:p>
        </w:tc>
      </w:tr>
      <w:tr w:rsidR="006924E2" w:rsidRPr="006924E2" w14:paraId="3C22AE31" w14:textId="7671529B" w:rsidTr="00234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7C14919A" w14:textId="22FCBC19" w:rsidR="006924E2" w:rsidRPr="006924E2" w:rsidRDefault="075848AB" w:rsidP="00801934">
            <w:pPr>
              <w:pStyle w:val="ListParagraph"/>
              <w:numPr>
                <w:ilvl w:val="0"/>
                <w:numId w:val="1"/>
              </w:numPr>
              <w:spacing w:before="120" w:after="120"/>
            </w:pPr>
            <w:r>
              <w:t xml:space="preserve">The Student is responsible for placing a </w:t>
            </w:r>
            <w:proofErr w:type="spellStart"/>
            <w:r w:rsidRPr="075848AB">
              <w:rPr>
                <w:b/>
                <w:bCs/>
                <w:i/>
                <w:iCs/>
              </w:rPr>
              <w:t>TicketDog</w:t>
            </w:r>
            <w:proofErr w:type="spellEnd"/>
            <w:r w:rsidRPr="075848AB">
              <w:rPr>
                <w:b/>
                <w:bCs/>
                <w:i/>
                <w:iCs/>
              </w:rPr>
              <w:t xml:space="preserve"> request with SBS Tech</w:t>
            </w:r>
            <w:r>
              <w:t xml:space="preserve"> if any Committee Member will be attending the Oral Exam remotely (Skype, etc.). GWS Staff and Faculty cannot provide technology assistance, but the APC can assist the Student in making a </w:t>
            </w:r>
            <w:proofErr w:type="spellStart"/>
            <w:r>
              <w:t>TicketDog</w:t>
            </w:r>
            <w:proofErr w:type="spellEnd"/>
            <w:r>
              <w:t xml:space="preserve"> request to SBS Tech.</w:t>
            </w:r>
          </w:p>
        </w:tc>
        <w:tc>
          <w:tcPr>
            <w:tcW w:w="946" w:type="pct"/>
            <w:tcBorders>
              <w:top w:val="single" w:sz="4" w:space="0" w:color="auto"/>
              <w:left w:val="single" w:sz="4" w:space="0" w:color="auto"/>
              <w:bottom w:val="single" w:sz="4" w:space="0" w:color="auto"/>
              <w:right w:val="single" w:sz="4" w:space="0" w:color="auto"/>
            </w:tcBorders>
          </w:tcPr>
          <w:p w14:paraId="4E46394E"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747AF9F1" w14:textId="77777777" w:rsidR="006924E2" w:rsidRPr="006924E2" w:rsidRDefault="006924E2" w:rsidP="006924E2"/>
        </w:tc>
      </w:tr>
      <w:tr w:rsidR="006924E2" w:rsidRPr="006924E2" w14:paraId="13805B1E" w14:textId="2CD399A6" w:rsidTr="00234002">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19816159" w14:textId="29BB669C" w:rsidR="006924E2" w:rsidRPr="006924E2" w:rsidRDefault="075848AB" w:rsidP="00F14197">
            <w:pPr>
              <w:pStyle w:val="ListParagraph"/>
              <w:numPr>
                <w:ilvl w:val="0"/>
                <w:numId w:val="1"/>
              </w:numPr>
              <w:spacing w:before="120" w:after="120"/>
            </w:pPr>
            <w:r>
              <w:t xml:space="preserve">At the end of the Oral Exam, the </w:t>
            </w:r>
            <w:r w:rsidRPr="075848AB">
              <w:rPr>
                <w:u w:val="single"/>
              </w:rPr>
              <w:t>Chair</w:t>
            </w:r>
            <w:r>
              <w:t xml:space="preserve"> must</w:t>
            </w:r>
            <w:r w:rsidRPr="075848AB">
              <w:rPr>
                <w:b/>
                <w:bCs/>
                <w:i/>
                <w:iCs/>
              </w:rPr>
              <w:t xml:space="preserve"> enter the result in the “Results of the Comprehensive Exam Form” in </w:t>
            </w:r>
            <w:proofErr w:type="spellStart"/>
            <w:r w:rsidRPr="075848AB">
              <w:rPr>
                <w:b/>
                <w:bCs/>
                <w:i/>
                <w:iCs/>
              </w:rPr>
              <w:t>GradPath</w:t>
            </w:r>
            <w:proofErr w:type="spellEnd"/>
            <w:r>
              <w:t>, using the email link auto-generated earlier (see #17, above).</w:t>
            </w:r>
          </w:p>
        </w:tc>
        <w:tc>
          <w:tcPr>
            <w:tcW w:w="946" w:type="pct"/>
            <w:tcBorders>
              <w:top w:val="single" w:sz="4" w:space="0" w:color="auto"/>
              <w:left w:val="single" w:sz="4" w:space="0" w:color="auto"/>
              <w:bottom w:val="single" w:sz="4" w:space="0" w:color="auto"/>
              <w:right w:val="single" w:sz="4" w:space="0" w:color="auto"/>
            </w:tcBorders>
          </w:tcPr>
          <w:p w14:paraId="69DFC7F8" w14:textId="77777777" w:rsidR="006924E2" w:rsidRPr="006924E2" w:rsidRDefault="006924E2"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4CBA3BF6" w14:textId="77777777" w:rsidR="006924E2" w:rsidRPr="006924E2" w:rsidRDefault="006924E2" w:rsidP="006924E2"/>
        </w:tc>
      </w:tr>
      <w:tr w:rsidR="006924E2" w:rsidRPr="006924E2" w14:paraId="75CE10C5" w14:textId="1F9B3139" w:rsidTr="0023400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4" w:space="0" w:color="auto"/>
              <w:right w:val="single" w:sz="4" w:space="0" w:color="auto"/>
            </w:tcBorders>
          </w:tcPr>
          <w:p w14:paraId="3E3441D3" w14:textId="0C031D20" w:rsidR="006924E2" w:rsidRPr="006924E2" w:rsidRDefault="075848AB" w:rsidP="00F14197">
            <w:pPr>
              <w:pStyle w:val="ListParagraph"/>
              <w:numPr>
                <w:ilvl w:val="0"/>
                <w:numId w:val="1"/>
              </w:numPr>
              <w:spacing w:before="120" w:after="120"/>
            </w:pPr>
            <w:r>
              <w:t xml:space="preserve">The </w:t>
            </w:r>
            <w:r w:rsidRPr="075848AB">
              <w:rPr>
                <w:u w:val="single"/>
              </w:rPr>
              <w:t>Chair</w:t>
            </w:r>
            <w:r>
              <w:t xml:space="preserve"> should </w:t>
            </w:r>
            <w:r w:rsidRPr="075848AB">
              <w:rPr>
                <w:b/>
                <w:bCs/>
                <w:i/>
                <w:iCs/>
              </w:rPr>
              <w:t>also report the result of the Oral Exam to the DGS and the APC</w:t>
            </w:r>
            <w:r>
              <w:t>.</w:t>
            </w:r>
          </w:p>
        </w:tc>
        <w:tc>
          <w:tcPr>
            <w:tcW w:w="946" w:type="pct"/>
            <w:tcBorders>
              <w:top w:val="single" w:sz="4" w:space="0" w:color="auto"/>
              <w:left w:val="single" w:sz="4" w:space="0" w:color="auto"/>
              <w:bottom w:val="single" w:sz="4" w:space="0" w:color="auto"/>
              <w:right w:val="single" w:sz="4" w:space="0" w:color="auto"/>
            </w:tcBorders>
          </w:tcPr>
          <w:p w14:paraId="3AAADEA2" w14:textId="77777777" w:rsidR="006924E2" w:rsidRPr="006924E2" w:rsidRDefault="006924E2"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single" w:sz="4" w:space="0" w:color="auto"/>
              <w:bottom w:val="single" w:sz="4" w:space="0" w:color="auto"/>
              <w:right w:val="nil"/>
            </w:tcBorders>
          </w:tcPr>
          <w:p w14:paraId="1FBC1DEB" w14:textId="77777777" w:rsidR="006924E2" w:rsidRPr="006924E2" w:rsidRDefault="006924E2" w:rsidP="006924E2"/>
        </w:tc>
      </w:tr>
      <w:tr w:rsidR="002332E7" w:rsidRPr="006924E2" w14:paraId="3A5669B7" w14:textId="77777777" w:rsidTr="00234002">
        <w:tc>
          <w:tcPr>
            <w:cnfStyle w:val="000010000000" w:firstRow="0" w:lastRow="0" w:firstColumn="0" w:lastColumn="0" w:oddVBand="1" w:evenVBand="0" w:oddHBand="0" w:evenHBand="0" w:firstRowFirstColumn="0" w:firstRowLastColumn="0" w:lastRowFirstColumn="0" w:lastRowLastColumn="0"/>
            <w:tcW w:w="2420" w:type="pct"/>
            <w:tcBorders>
              <w:top w:val="single" w:sz="4" w:space="0" w:color="auto"/>
              <w:left w:val="nil"/>
              <w:bottom w:val="single" w:sz="8" w:space="0" w:color="000000" w:themeColor="text1"/>
              <w:right w:val="nil"/>
            </w:tcBorders>
          </w:tcPr>
          <w:p w14:paraId="5B93421B" w14:textId="77777777" w:rsidR="002332E7" w:rsidRPr="006924E2" w:rsidRDefault="075848AB" w:rsidP="002332E7">
            <w:pPr>
              <w:spacing w:before="120" w:after="120"/>
            </w:pPr>
            <w:r>
              <w:t xml:space="preserve">If the Student </w:t>
            </w:r>
            <w:r w:rsidRPr="075848AB">
              <w:rPr>
                <w:b/>
                <w:bCs/>
              </w:rPr>
              <w:t>PASSES</w:t>
            </w:r>
            <w:r>
              <w:t xml:space="preserve"> the Oral Exam, they advance to candidacy and begin preparing their dissertation proposal. Congratulations!</w:t>
            </w:r>
          </w:p>
        </w:tc>
        <w:tc>
          <w:tcPr>
            <w:tcW w:w="946" w:type="pct"/>
            <w:tcBorders>
              <w:top w:val="single" w:sz="4" w:space="0" w:color="auto"/>
              <w:left w:val="nil"/>
              <w:bottom w:val="single" w:sz="8" w:space="0" w:color="000000" w:themeColor="text1"/>
              <w:right w:val="nil"/>
            </w:tcBorders>
          </w:tcPr>
          <w:p w14:paraId="3B5BE6D7" w14:textId="77777777" w:rsidR="002332E7" w:rsidRPr="006924E2" w:rsidRDefault="002332E7" w:rsidP="006924E2">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top w:val="single" w:sz="4" w:space="0" w:color="auto"/>
              <w:left w:val="nil"/>
              <w:bottom w:val="single" w:sz="8" w:space="0" w:color="000000" w:themeColor="text1"/>
              <w:right w:val="nil"/>
            </w:tcBorders>
          </w:tcPr>
          <w:p w14:paraId="4FB3A890" w14:textId="77777777" w:rsidR="002332E7" w:rsidRPr="006924E2" w:rsidRDefault="002332E7" w:rsidP="006924E2"/>
        </w:tc>
      </w:tr>
      <w:tr w:rsidR="002332E7" w:rsidRPr="006924E2" w14:paraId="77D3C65E" w14:textId="77777777" w:rsidTr="00E176D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20" w:type="pct"/>
            <w:tcBorders>
              <w:left w:val="nil"/>
              <w:right w:val="nil"/>
            </w:tcBorders>
          </w:tcPr>
          <w:p w14:paraId="3E88CE49" w14:textId="71C50143" w:rsidR="002332E7" w:rsidRPr="006924E2" w:rsidRDefault="075848AB" w:rsidP="002332E7">
            <w:pPr>
              <w:spacing w:before="120" w:after="120"/>
            </w:pPr>
            <w:r>
              <w:t xml:space="preserve">If the Student </w:t>
            </w:r>
            <w:r w:rsidRPr="075848AB">
              <w:rPr>
                <w:b/>
                <w:bCs/>
              </w:rPr>
              <w:t>FAILS</w:t>
            </w:r>
            <w:r>
              <w:t xml:space="preserve"> the Oral Exam, they may retake it one time. If they elect to do so, they will repeat steps 15-20.</w:t>
            </w:r>
          </w:p>
        </w:tc>
        <w:tc>
          <w:tcPr>
            <w:tcW w:w="946" w:type="pct"/>
            <w:tcBorders>
              <w:left w:val="nil"/>
              <w:right w:val="nil"/>
            </w:tcBorders>
          </w:tcPr>
          <w:p w14:paraId="215E98A5" w14:textId="77777777" w:rsidR="002332E7" w:rsidRPr="006924E2" w:rsidRDefault="002332E7" w:rsidP="006924E2">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34" w:type="pct"/>
            <w:tcBorders>
              <w:left w:val="nil"/>
              <w:right w:val="nil"/>
            </w:tcBorders>
          </w:tcPr>
          <w:p w14:paraId="4512A86A" w14:textId="77777777" w:rsidR="002332E7" w:rsidRPr="006924E2" w:rsidRDefault="002332E7" w:rsidP="006924E2"/>
        </w:tc>
      </w:tr>
    </w:tbl>
    <w:p w14:paraId="6F11231A" w14:textId="77777777" w:rsidR="008B1EEC" w:rsidRDefault="008B1EEC" w:rsidP="008B1EEC">
      <w:pPr>
        <w:spacing w:before="120"/>
        <w:ind w:left="360" w:hanging="360"/>
        <w:rPr>
          <w:b/>
        </w:rPr>
      </w:pPr>
    </w:p>
    <w:p w14:paraId="4F5621B7" w14:textId="77777777" w:rsidR="008B1EEC" w:rsidRDefault="075848AB" w:rsidP="008B1EEC">
      <w:pPr>
        <w:spacing w:before="120"/>
        <w:ind w:left="360" w:right="3510" w:hanging="360"/>
      </w:pPr>
      <w:r w:rsidRPr="075848AB">
        <w:rPr>
          <w:b/>
          <w:bCs/>
        </w:rPr>
        <w:t>Should the Student FAIL the Written Exam</w:t>
      </w:r>
      <w:r>
        <w:t xml:space="preserve">, </w:t>
      </w:r>
    </w:p>
    <w:p w14:paraId="36584AF7" w14:textId="77777777" w:rsidR="008B1EEC" w:rsidRDefault="008B1EEC" w:rsidP="008B1EEC">
      <w:pPr>
        <w:spacing w:after="120"/>
        <w:ind w:left="360" w:right="3510" w:hanging="360"/>
      </w:pPr>
      <w:r>
        <w:tab/>
      </w:r>
      <w:r w:rsidRPr="006924E2">
        <w:t>they may retake it one time.</w:t>
      </w:r>
      <w:r>
        <w:t xml:space="preserve"> </w:t>
      </w:r>
      <w:r w:rsidRPr="006924E2">
        <w:t>If they elect to do so, th</w:t>
      </w:r>
      <w:r>
        <w:t>e Student should meet with the</w:t>
      </w:r>
      <w:r w:rsidRPr="006924E2">
        <w:t xml:space="preserve"> Chair and the DGS to discuss the process. In general, the Student will repeat the steps in this checklist</w:t>
      </w:r>
      <w:r>
        <w:t>.</w:t>
      </w:r>
    </w:p>
    <w:p w14:paraId="46D85DA9" w14:textId="7DF4592E" w:rsidR="002D384C" w:rsidRDefault="008B1EEC" w:rsidP="002D384C">
      <w:pPr>
        <w:spacing w:before="240"/>
        <w:ind w:left="360" w:right="3510" w:hanging="360"/>
      </w:pPr>
      <w:r>
        <w:tab/>
      </w:r>
      <w:r w:rsidRPr="006924E2">
        <w:t xml:space="preserve">Students retaking their Written </w:t>
      </w:r>
      <w:r>
        <w:t>Exam</w:t>
      </w:r>
      <w:r w:rsidRPr="006924E2">
        <w:t xml:space="preserve"> may reconstitute their Examination Committee in part or in full. They should work with their Chair and Committee to determine areas of weakness and, if appropriate, modify their fields or lists.</w:t>
      </w:r>
    </w:p>
    <w:sectPr w:rsidR="002D384C" w:rsidSect="00BF5247">
      <w:headerReference w:type="default" r:id="rId7"/>
      <w:footerReference w:type="default" r:id="rId8"/>
      <w:headerReference w:type="first" r:id="rId9"/>
      <w:footerReference w:type="first" r:id="rId10"/>
      <w:pgSz w:w="12240" w:h="15840"/>
      <w:pgMar w:top="1152" w:right="720" w:bottom="115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29405" w14:textId="77777777" w:rsidR="00E452B5" w:rsidRDefault="00E452B5" w:rsidP="006924E2">
      <w:r>
        <w:separator/>
      </w:r>
    </w:p>
  </w:endnote>
  <w:endnote w:type="continuationSeparator" w:id="0">
    <w:p w14:paraId="1B0E8984" w14:textId="77777777" w:rsidR="00E452B5" w:rsidRDefault="00E452B5" w:rsidP="0069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9A59" w14:textId="3153BB6E" w:rsidR="00B21CC5" w:rsidRDefault="00B21CC5" w:rsidP="006924E2">
    <w:pPr>
      <w:pStyle w:val="Footer"/>
      <w:jc w:val="center"/>
    </w:pPr>
    <w:r>
      <w:rPr>
        <w:rStyle w:val="PageNumber"/>
      </w:rPr>
      <w:fldChar w:fldCharType="begin"/>
    </w:r>
    <w:r>
      <w:rPr>
        <w:rStyle w:val="PageNumber"/>
      </w:rPr>
      <w:instrText xml:space="preserve"> PAGE </w:instrText>
    </w:r>
    <w:r>
      <w:rPr>
        <w:rStyle w:val="PageNumber"/>
      </w:rPr>
      <w:fldChar w:fldCharType="separate"/>
    </w:r>
    <w:r w:rsidR="0080193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6FD5" w14:textId="3BB4189D" w:rsidR="00B21CC5" w:rsidRPr="00040D8E" w:rsidRDefault="075848AB" w:rsidP="075848AB">
    <w:pPr>
      <w:pStyle w:val="Footer"/>
      <w:jc w:val="right"/>
      <w:rPr>
        <w:sz w:val="20"/>
        <w:szCs w:val="20"/>
      </w:rPr>
    </w:pPr>
    <w:r w:rsidRPr="075848AB">
      <w:rPr>
        <w:rStyle w:val="PageNumber"/>
        <w:sz w:val="20"/>
        <w:szCs w:val="20"/>
      </w:rPr>
      <w:t xml:space="preserve">Document date: </w:t>
    </w:r>
    <w:r w:rsidR="00E176D7">
      <w:rPr>
        <w:rStyle w:val="PageNumber"/>
        <w:sz w:val="20"/>
        <w:szCs w:val="20"/>
      </w:rPr>
      <w:t>July</w:t>
    </w:r>
    <w:r w:rsidRPr="075848AB">
      <w:rPr>
        <w:rStyle w:val="PageNumber"/>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D250" w14:textId="77777777" w:rsidR="00E452B5" w:rsidRDefault="00E452B5" w:rsidP="006924E2">
      <w:r>
        <w:separator/>
      </w:r>
    </w:p>
  </w:footnote>
  <w:footnote w:type="continuationSeparator" w:id="0">
    <w:p w14:paraId="220E669D" w14:textId="77777777" w:rsidR="00E452B5" w:rsidRDefault="00E452B5" w:rsidP="00692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14DA" w14:textId="52506BA3" w:rsidR="00B21CC5" w:rsidRDefault="075848AB" w:rsidP="00C44FE8">
    <w:pPr>
      <w:pStyle w:val="Header"/>
      <w:jc w:val="center"/>
    </w:pPr>
    <w:r>
      <w:t>Comprehensive Exams Checklist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48FCC" w14:textId="77777777" w:rsidR="00B21CC5" w:rsidRDefault="00B21CC5" w:rsidP="008A4CCD">
    <w:pPr>
      <w:jc w:val="center"/>
      <w:rPr>
        <w:b/>
      </w:rPr>
    </w:pPr>
  </w:p>
  <w:p w14:paraId="4F9A23C2" w14:textId="77777777" w:rsidR="00B21CC5" w:rsidRPr="008A4CCD" w:rsidRDefault="075848AB" w:rsidP="075848AB">
    <w:pPr>
      <w:jc w:val="center"/>
      <w:rPr>
        <w:b/>
        <w:bCs/>
      </w:rPr>
    </w:pPr>
    <w:r w:rsidRPr="075848AB">
      <w:rPr>
        <w:b/>
        <w:bCs/>
      </w:rPr>
      <w:t>Gender &amp; Women’s Studies</w:t>
    </w:r>
  </w:p>
  <w:p w14:paraId="63DF197B" w14:textId="77777777" w:rsidR="00B21CC5" w:rsidRDefault="075848AB" w:rsidP="075848AB">
    <w:pPr>
      <w:jc w:val="center"/>
      <w:rPr>
        <w:b/>
        <w:bCs/>
      </w:rPr>
    </w:pPr>
    <w:r w:rsidRPr="075848AB">
      <w:rPr>
        <w:b/>
        <w:bCs/>
      </w:rPr>
      <w:t>Doctoral Comprehensive Examinations</w:t>
    </w:r>
  </w:p>
  <w:p w14:paraId="675A9D2B" w14:textId="6556FB1A" w:rsidR="00B21CC5" w:rsidRPr="008A4CCD" w:rsidRDefault="075848AB" w:rsidP="075848AB">
    <w:pPr>
      <w:jc w:val="center"/>
      <w:rPr>
        <w:b/>
        <w:bCs/>
      </w:rPr>
    </w:pPr>
    <w:r w:rsidRPr="075848AB">
      <w:rPr>
        <w:b/>
        <w:bCs/>
      </w:rPr>
      <w:t>Process Checklist</w:t>
    </w:r>
  </w:p>
  <w:p w14:paraId="390F8143" w14:textId="77777777" w:rsidR="00B21CC5" w:rsidRDefault="00B21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B82"/>
    <w:multiLevelType w:val="multilevel"/>
    <w:tmpl w:val="882CA0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C901AA9"/>
    <w:multiLevelType w:val="hybridMultilevel"/>
    <w:tmpl w:val="9ACCF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50C21CF"/>
    <w:multiLevelType w:val="hybridMultilevel"/>
    <w:tmpl w:val="882CA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395"/>
    <w:rsid w:val="00001ED9"/>
    <w:rsid w:val="00024194"/>
    <w:rsid w:val="00025B09"/>
    <w:rsid w:val="0003194E"/>
    <w:rsid w:val="00040D8E"/>
    <w:rsid w:val="000765D0"/>
    <w:rsid w:val="000E1DC5"/>
    <w:rsid w:val="000E26CA"/>
    <w:rsid w:val="00112117"/>
    <w:rsid w:val="00160A50"/>
    <w:rsid w:val="00163A29"/>
    <w:rsid w:val="001D38DB"/>
    <w:rsid w:val="001D7A7B"/>
    <w:rsid w:val="001F28B7"/>
    <w:rsid w:val="002332E7"/>
    <w:rsid w:val="00234002"/>
    <w:rsid w:val="00262A5F"/>
    <w:rsid w:val="0028075E"/>
    <w:rsid w:val="0029094D"/>
    <w:rsid w:val="0029121B"/>
    <w:rsid w:val="002D384C"/>
    <w:rsid w:val="003078C5"/>
    <w:rsid w:val="00385436"/>
    <w:rsid w:val="0043313D"/>
    <w:rsid w:val="004505BD"/>
    <w:rsid w:val="0045127C"/>
    <w:rsid w:val="0046408B"/>
    <w:rsid w:val="00481478"/>
    <w:rsid w:val="004A73CC"/>
    <w:rsid w:val="00533895"/>
    <w:rsid w:val="005978B5"/>
    <w:rsid w:val="005D32B2"/>
    <w:rsid w:val="005E312A"/>
    <w:rsid w:val="00675A86"/>
    <w:rsid w:val="00677541"/>
    <w:rsid w:val="006924E2"/>
    <w:rsid w:val="00693D0B"/>
    <w:rsid w:val="006B45A9"/>
    <w:rsid w:val="0075125B"/>
    <w:rsid w:val="007961B9"/>
    <w:rsid w:val="007D59A6"/>
    <w:rsid w:val="007E0203"/>
    <w:rsid w:val="007E1CC8"/>
    <w:rsid w:val="00801934"/>
    <w:rsid w:val="00843749"/>
    <w:rsid w:val="00885273"/>
    <w:rsid w:val="008A4CCD"/>
    <w:rsid w:val="008B1EEC"/>
    <w:rsid w:val="00910B56"/>
    <w:rsid w:val="0096459C"/>
    <w:rsid w:val="00981F6B"/>
    <w:rsid w:val="00996AFE"/>
    <w:rsid w:val="009E648F"/>
    <w:rsid w:val="009F02C3"/>
    <w:rsid w:val="00A21862"/>
    <w:rsid w:val="00AB4600"/>
    <w:rsid w:val="00B21CC5"/>
    <w:rsid w:val="00B510DF"/>
    <w:rsid w:val="00B52ED0"/>
    <w:rsid w:val="00B67284"/>
    <w:rsid w:val="00B8491A"/>
    <w:rsid w:val="00BA010A"/>
    <w:rsid w:val="00BC02F7"/>
    <w:rsid w:val="00BF3097"/>
    <w:rsid w:val="00BF5247"/>
    <w:rsid w:val="00C076E3"/>
    <w:rsid w:val="00C3575E"/>
    <w:rsid w:val="00C44FE8"/>
    <w:rsid w:val="00C822C9"/>
    <w:rsid w:val="00C92D7A"/>
    <w:rsid w:val="00CA1C26"/>
    <w:rsid w:val="00CE2158"/>
    <w:rsid w:val="00D07525"/>
    <w:rsid w:val="00DD3395"/>
    <w:rsid w:val="00DE6A00"/>
    <w:rsid w:val="00E176D7"/>
    <w:rsid w:val="00E452B5"/>
    <w:rsid w:val="00E762D1"/>
    <w:rsid w:val="00E9037A"/>
    <w:rsid w:val="00EA1C17"/>
    <w:rsid w:val="00EB17BF"/>
    <w:rsid w:val="00F14197"/>
    <w:rsid w:val="00F27E77"/>
    <w:rsid w:val="00F87AD0"/>
    <w:rsid w:val="00FE43D9"/>
    <w:rsid w:val="07584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0FB3AD"/>
  <w14:defaultImageDpi w14:val="300"/>
  <w15:docId w15:val="{CE73BA8D-B57D-AD4E-B037-CC11EACA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CCD"/>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4E2"/>
    <w:pPr>
      <w:tabs>
        <w:tab w:val="center" w:pos="4320"/>
        <w:tab w:val="right" w:pos="8640"/>
      </w:tabs>
    </w:pPr>
  </w:style>
  <w:style w:type="character" w:customStyle="1" w:styleId="HeaderChar">
    <w:name w:val="Header Char"/>
    <w:basedOn w:val="DefaultParagraphFont"/>
    <w:link w:val="Header"/>
    <w:uiPriority w:val="99"/>
    <w:rsid w:val="006924E2"/>
    <w:rPr>
      <w:rFonts w:ascii="Palatino" w:hAnsi="Palatino"/>
      <w:sz w:val="24"/>
      <w:szCs w:val="24"/>
      <w:lang w:eastAsia="en-US"/>
    </w:rPr>
  </w:style>
  <w:style w:type="paragraph" w:styleId="Footer">
    <w:name w:val="footer"/>
    <w:basedOn w:val="Normal"/>
    <w:link w:val="FooterChar"/>
    <w:uiPriority w:val="99"/>
    <w:unhideWhenUsed/>
    <w:rsid w:val="006924E2"/>
    <w:pPr>
      <w:tabs>
        <w:tab w:val="center" w:pos="4320"/>
        <w:tab w:val="right" w:pos="8640"/>
      </w:tabs>
    </w:pPr>
  </w:style>
  <w:style w:type="character" w:customStyle="1" w:styleId="FooterChar">
    <w:name w:val="Footer Char"/>
    <w:basedOn w:val="DefaultParagraphFont"/>
    <w:link w:val="Footer"/>
    <w:uiPriority w:val="99"/>
    <w:rsid w:val="006924E2"/>
    <w:rPr>
      <w:rFonts w:ascii="Palatino" w:hAnsi="Palatino"/>
      <w:sz w:val="24"/>
      <w:szCs w:val="24"/>
      <w:lang w:eastAsia="en-US"/>
    </w:rPr>
  </w:style>
  <w:style w:type="character" w:styleId="PageNumber">
    <w:name w:val="page number"/>
    <w:basedOn w:val="DefaultParagraphFont"/>
    <w:uiPriority w:val="99"/>
    <w:semiHidden/>
    <w:unhideWhenUsed/>
    <w:rsid w:val="006924E2"/>
  </w:style>
  <w:style w:type="table" w:styleId="TableGrid">
    <w:name w:val="Table Grid"/>
    <w:basedOn w:val="TableNormal"/>
    <w:uiPriority w:val="59"/>
    <w:rsid w:val="0069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961B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14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692</Words>
  <Characters>3946</Characters>
  <Application>Microsoft Office Word</Application>
  <DocSecurity>0</DocSecurity>
  <Lines>32</Lines>
  <Paragraphs>9</Paragraphs>
  <ScaleCrop>false</ScaleCrop>
  <Company>University of Arizona</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Geary</dc:creator>
  <cp:keywords/>
  <dc:description/>
  <cp:lastModifiedBy>Adam M Geary</cp:lastModifiedBy>
  <cp:revision>67</cp:revision>
  <dcterms:created xsi:type="dcterms:W3CDTF">2018-06-21T17:07:00Z</dcterms:created>
  <dcterms:modified xsi:type="dcterms:W3CDTF">2018-07-21T23:36:00Z</dcterms:modified>
</cp:coreProperties>
</file>