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DE745" w14:textId="6907F43F" w:rsidR="00714767" w:rsidRPr="00275CF5" w:rsidRDefault="00D4036E" w:rsidP="00D4036E">
      <w:pPr>
        <w:jc w:val="center"/>
        <w:rPr>
          <w:b/>
          <w:sz w:val="22"/>
        </w:rPr>
      </w:pPr>
      <w:r w:rsidRPr="00275CF5">
        <w:rPr>
          <w:b/>
          <w:sz w:val="22"/>
        </w:rPr>
        <w:t xml:space="preserve">Gender &amp; Women’s Studies </w:t>
      </w:r>
      <w:r w:rsidR="00714767" w:rsidRPr="00275CF5">
        <w:rPr>
          <w:b/>
          <w:sz w:val="22"/>
        </w:rPr>
        <w:t>Ph.D. Program</w:t>
      </w:r>
    </w:p>
    <w:p w14:paraId="233D5C91" w14:textId="0207F897" w:rsidR="00714767" w:rsidRPr="00275CF5" w:rsidRDefault="00D4036E" w:rsidP="00D4036E">
      <w:pPr>
        <w:jc w:val="center"/>
        <w:rPr>
          <w:b/>
          <w:sz w:val="22"/>
        </w:rPr>
      </w:pPr>
      <w:r w:rsidRPr="00275CF5">
        <w:rPr>
          <w:b/>
          <w:sz w:val="22"/>
        </w:rPr>
        <w:t xml:space="preserve">Qualifying Process </w:t>
      </w:r>
      <w:r w:rsidR="00F43DF6">
        <w:rPr>
          <w:b/>
          <w:sz w:val="22"/>
        </w:rPr>
        <w:t>– Student Report Form</w:t>
      </w:r>
    </w:p>
    <w:p w14:paraId="77A435D7" w14:textId="77777777" w:rsidR="00D4036E" w:rsidRPr="00275CF5" w:rsidRDefault="00D4036E" w:rsidP="00D4036E">
      <w:pPr>
        <w:rPr>
          <w:sz w:val="22"/>
        </w:rPr>
      </w:pPr>
    </w:p>
    <w:p w14:paraId="3380FDA1" w14:textId="6B58CEBF" w:rsidR="00D4036E" w:rsidRPr="00275CF5" w:rsidRDefault="00D4036E" w:rsidP="00D4036E">
      <w:pPr>
        <w:jc w:val="center"/>
        <w:rPr>
          <w:b/>
          <w:sz w:val="22"/>
        </w:rPr>
      </w:pPr>
      <w:r w:rsidRPr="00275CF5">
        <w:rPr>
          <w:b/>
          <w:sz w:val="22"/>
        </w:rPr>
        <w:t>Complete and return to the Academic Program Coordinator</w:t>
      </w:r>
    </w:p>
    <w:p w14:paraId="20B8D533" w14:textId="750E2C5E" w:rsidR="00D4036E" w:rsidRPr="00275CF5" w:rsidRDefault="00D4036E" w:rsidP="00D4036E">
      <w:pPr>
        <w:jc w:val="center"/>
        <w:rPr>
          <w:b/>
          <w:sz w:val="22"/>
        </w:rPr>
      </w:pPr>
      <w:r w:rsidRPr="00275CF5">
        <w:rPr>
          <w:b/>
          <w:sz w:val="22"/>
        </w:rPr>
        <w:t>within 2 weeks of the end of the spring semester</w:t>
      </w:r>
    </w:p>
    <w:p w14:paraId="6DD7C331" w14:textId="77777777" w:rsidR="00D4036E" w:rsidRPr="00275CF5" w:rsidRDefault="00D4036E" w:rsidP="00D4036E">
      <w:pPr>
        <w:rPr>
          <w:sz w:val="22"/>
        </w:rPr>
      </w:pPr>
    </w:p>
    <w:p w14:paraId="3BC90444" w14:textId="77777777" w:rsidR="00D4036E" w:rsidRPr="00275CF5" w:rsidRDefault="00D4036E" w:rsidP="00D4036E">
      <w:pPr>
        <w:rPr>
          <w:sz w:val="22"/>
        </w:rPr>
      </w:pPr>
    </w:p>
    <w:tbl>
      <w:tblPr>
        <w:tblStyle w:val="TableGrid"/>
        <w:tblW w:w="4922" w:type="pct"/>
        <w:tblLook w:val="04A0" w:firstRow="1" w:lastRow="0" w:firstColumn="1" w:lastColumn="0" w:noHBand="0" w:noVBand="1"/>
      </w:tblPr>
      <w:tblGrid>
        <w:gridCol w:w="1328"/>
        <w:gridCol w:w="8949"/>
      </w:tblGrid>
      <w:tr w:rsidR="004B3610" w:rsidRPr="00275CF5" w14:paraId="351F5BED" w14:textId="77777777" w:rsidTr="00B85F8A">
        <w:trPr>
          <w:trHeight w:hRule="exact" w:val="360"/>
        </w:trPr>
        <w:tc>
          <w:tcPr>
            <w:tcW w:w="646" w:type="pct"/>
            <w:shd w:val="clear" w:color="auto" w:fill="BFBFBF" w:themeFill="background1" w:themeFillShade="BF"/>
            <w:vAlign w:val="center"/>
          </w:tcPr>
          <w:p w14:paraId="71B25EA1" w14:textId="77777777" w:rsidR="004B3610" w:rsidRPr="00275CF5" w:rsidRDefault="004B3610" w:rsidP="004C7D04">
            <w:pPr>
              <w:rPr>
                <w:b/>
                <w:sz w:val="22"/>
              </w:rPr>
            </w:pPr>
            <w:r w:rsidRPr="00275CF5">
              <w:rPr>
                <w:b/>
                <w:sz w:val="22"/>
              </w:rPr>
              <w:t>Name</w:t>
            </w:r>
          </w:p>
        </w:tc>
        <w:tc>
          <w:tcPr>
            <w:tcW w:w="4354" w:type="pct"/>
            <w:tcBorders>
              <w:top w:val="nil"/>
              <w:right w:val="nil"/>
            </w:tcBorders>
            <w:vAlign w:val="center"/>
          </w:tcPr>
          <w:p w14:paraId="62E54B7C" w14:textId="77777777" w:rsidR="004B3610" w:rsidRPr="00275CF5" w:rsidRDefault="004B3610" w:rsidP="00B85F8A">
            <w:pPr>
              <w:ind w:left="342" w:right="73"/>
              <w:rPr>
                <w:sz w:val="22"/>
              </w:rPr>
            </w:pPr>
          </w:p>
        </w:tc>
      </w:tr>
    </w:tbl>
    <w:p w14:paraId="0414E10D" w14:textId="77777777" w:rsidR="00714767" w:rsidRDefault="00714767" w:rsidP="00714767">
      <w:pPr>
        <w:rPr>
          <w:sz w:val="22"/>
        </w:rPr>
      </w:pPr>
    </w:p>
    <w:p w14:paraId="6594CD00" w14:textId="77777777" w:rsidR="00482BBB" w:rsidRPr="00275CF5" w:rsidRDefault="00482BBB" w:rsidP="00714767">
      <w:pPr>
        <w:rPr>
          <w:sz w:val="22"/>
        </w:rPr>
      </w:pPr>
    </w:p>
    <w:p w14:paraId="300A4FF1" w14:textId="77777777" w:rsidR="00714767" w:rsidRPr="00275CF5" w:rsidRDefault="00714767" w:rsidP="00714767">
      <w:pPr>
        <w:rPr>
          <w:sz w:val="22"/>
        </w:rPr>
      </w:pPr>
      <w:r w:rsidRPr="00275CF5">
        <w:rPr>
          <w:sz w:val="22"/>
        </w:rPr>
        <w:t>The Qualifying Process takes place within the student’s first year in the doctoral program.*  The student will be considered qualified to continue in their doctoral program if all of the following are met:</w:t>
      </w:r>
    </w:p>
    <w:p w14:paraId="16A9AE70" w14:textId="77777777" w:rsidR="00714767" w:rsidRPr="00275CF5" w:rsidRDefault="00714767" w:rsidP="00713C7D">
      <w:pPr>
        <w:pStyle w:val="ListParagraph"/>
        <w:numPr>
          <w:ilvl w:val="0"/>
          <w:numId w:val="2"/>
        </w:numPr>
        <w:ind w:left="720"/>
        <w:rPr>
          <w:sz w:val="22"/>
        </w:rPr>
      </w:pPr>
      <w:r w:rsidRPr="00275CF5">
        <w:rPr>
          <w:sz w:val="22"/>
        </w:rPr>
        <w:t>The student completes at least 15 units of graded coursework in the first two semesters.*  (Students are strongly encouraged to complete 18 units of coursework overall in their first two semesters.)</w:t>
      </w:r>
    </w:p>
    <w:p w14:paraId="0695C905" w14:textId="77777777" w:rsidR="00714767" w:rsidRPr="00275CF5" w:rsidRDefault="00714767" w:rsidP="00713C7D">
      <w:pPr>
        <w:pStyle w:val="ListParagraph"/>
        <w:numPr>
          <w:ilvl w:val="0"/>
          <w:numId w:val="2"/>
        </w:numPr>
        <w:ind w:left="720"/>
        <w:rPr>
          <w:sz w:val="22"/>
        </w:rPr>
      </w:pPr>
      <w:r w:rsidRPr="00275CF5">
        <w:rPr>
          <w:sz w:val="22"/>
        </w:rPr>
        <w:t>The student achieves an overall grade point average of at least 3.6 on a 4-point scale for their first two semesters.</w:t>
      </w:r>
    </w:p>
    <w:p w14:paraId="3B4D7F7C" w14:textId="77777777" w:rsidR="00714767" w:rsidRPr="00275CF5" w:rsidRDefault="00714767" w:rsidP="00713C7D">
      <w:pPr>
        <w:pStyle w:val="ListParagraph"/>
        <w:numPr>
          <w:ilvl w:val="0"/>
          <w:numId w:val="2"/>
        </w:numPr>
        <w:ind w:left="720"/>
        <w:rPr>
          <w:sz w:val="22"/>
        </w:rPr>
      </w:pPr>
      <w:r w:rsidRPr="00275CF5">
        <w:rPr>
          <w:sz w:val="22"/>
        </w:rPr>
        <w:t xml:space="preserve">The student takes no more than two Incompletes over their first two semesters.  </w:t>
      </w:r>
    </w:p>
    <w:p w14:paraId="27209A81" w14:textId="77777777" w:rsidR="00714767" w:rsidRPr="00275CF5" w:rsidRDefault="00714767" w:rsidP="00713C7D">
      <w:pPr>
        <w:pStyle w:val="ListParagraph"/>
        <w:numPr>
          <w:ilvl w:val="0"/>
          <w:numId w:val="2"/>
        </w:numPr>
        <w:ind w:left="720"/>
        <w:rPr>
          <w:sz w:val="22"/>
        </w:rPr>
      </w:pPr>
      <w:r w:rsidRPr="00275CF5">
        <w:rPr>
          <w:sz w:val="22"/>
        </w:rPr>
        <w:t>The student completes all remaining coursework and is without Incompletes within 6 weeks of the end of the second semester.**</w:t>
      </w:r>
    </w:p>
    <w:p w14:paraId="28D41444" w14:textId="63479AC8" w:rsidR="00714767" w:rsidRPr="00275CF5" w:rsidRDefault="00714767" w:rsidP="00714767">
      <w:pPr>
        <w:rPr>
          <w:sz w:val="22"/>
        </w:rPr>
      </w:pPr>
      <w:r w:rsidRPr="00275CF5">
        <w:rPr>
          <w:sz w:val="22"/>
        </w:rPr>
        <w:t>If a student fails to meet any of these requirements, they will no longer be eligible to continue in the GWS doctoral program.</w:t>
      </w:r>
    </w:p>
    <w:p w14:paraId="3DC87618" w14:textId="77777777" w:rsidR="00A171DE" w:rsidRDefault="00A171DE" w:rsidP="00714767">
      <w:pPr>
        <w:rPr>
          <w:b/>
          <w:sz w:val="22"/>
        </w:rPr>
      </w:pPr>
    </w:p>
    <w:p w14:paraId="4D09D6B4" w14:textId="77777777" w:rsidR="00482BBB" w:rsidRPr="00275CF5" w:rsidRDefault="00482BBB" w:rsidP="00714767">
      <w:pPr>
        <w:rPr>
          <w:b/>
          <w:sz w:val="22"/>
        </w:rPr>
      </w:pPr>
    </w:p>
    <w:tbl>
      <w:tblPr>
        <w:tblStyle w:val="TableGrid"/>
        <w:tblW w:w="10458" w:type="dxa"/>
        <w:tblLayout w:type="fixed"/>
        <w:tblLook w:val="04A0" w:firstRow="1" w:lastRow="0" w:firstColumn="1" w:lastColumn="0" w:noHBand="0" w:noVBand="1"/>
      </w:tblPr>
      <w:tblGrid>
        <w:gridCol w:w="5229"/>
        <w:gridCol w:w="5229"/>
      </w:tblGrid>
      <w:tr w:rsidR="00794BBD" w:rsidRPr="00275CF5" w14:paraId="31CC326E" w14:textId="77777777" w:rsidTr="00275CF5">
        <w:trPr>
          <w:trHeight w:hRule="exact" w:val="360"/>
        </w:trPr>
        <w:tc>
          <w:tcPr>
            <w:tcW w:w="5229" w:type="dxa"/>
            <w:tcBorders>
              <w:top w:val="single" w:sz="4" w:space="0" w:color="auto"/>
              <w:left w:val="single" w:sz="4" w:space="0" w:color="auto"/>
              <w:bottom w:val="nil"/>
              <w:right w:val="nil"/>
            </w:tcBorders>
            <w:shd w:val="clear" w:color="auto" w:fill="BFBFBF" w:themeFill="background1" w:themeFillShade="BF"/>
            <w:vAlign w:val="center"/>
          </w:tcPr>
          <w:p w14:paraId="7131B6E9" w14:textId="01B77085" w:rsidR="00794BBD" w:rsidRPr="00275CF5" w:rsidRDefault="00794BBD" w:rsidP="00F05C0C">
            <w:pPr>
              <w:rPr>
                <w:b/>
                <w:sz w:val="22"/>
              </w:rPr>
            </w:pPr>
            <w:r w:rsidRPr="00275CF5">
              <w:rPr>
                <w:b/>
                <w:sz w:val="22"/>
              </w:rPr>
              <w:t>Units Completed</w:t>
            </w:r>
          </w:p>
        </w:tc>
        <w:tc>
          <w:tcPr>
            <w:tcW w:w="5229" w:type="dxa"/>
            <w:tcBorders>
              <w:top w:val="single" w:sz="4" w:space="0" w:color="auto"/>
              <w:left w:val="nil"/>
              <w:bottom w:val="nil"/>
              <w:right w:val="single" w:sz="4" w:space="0" w:color="auto"/>
            </w:tcBorders>
            <w:shd w:val="clear" w:color="auto" w:fill="BFBFBF" w:themeFill="background1" w:themeFillShade="BF"/>
            <w:vAlign w:val="center"/>
          </w:tcPr>
          <w:p w14:paraId="736CD8F5" w14:textId="77777777" w:rsidR="00794BBD" w:rsidRPr="00275CF5" w:rsidRDefault="00794BBD" w:rsidP="00F05C0C">
            <w:pPr>
              <w:rPr>
                <w:b/>
                <w:sz w:val="22"/>
              </w:rPr>
            </w:pPr>
          </w:p>
        </w:tc>
      </w:tr>
      <w:tr w:rsidR="00794BBD" w:rsidRPr="00275CF5" w14:paraId="1C9942BC" w14:textId="77777777" w:rsidTr="00275CF5">
        <w:trPr>
          <w:trHeight w:hRule="exact" w:val="360"/>
        </w:trPr>
        <w:tc>
          <w:tcPr>
            <w:tcW w:w="5229" w:type="dxa"/>
            <w:tcBorders>
              <w:top w:val="nil"/>
              <w:right w:val="nil"/>
            </w:tcBorders>
            <w:shd w:val="clear" w:color="auto" w:fill="BFBFBF" w:themeFill="background1" w:themeFillShade="BF"/>
            <w:vAlign w:val="center"/>
          </w:tcPr>
          <w:p w14:paraId="385E5480" w14:textId="2D617D50" w:rsidR="00794BBD" w:rsidRPr="00275CF5" w:rsidRDefault="00794BBD" w:rsidP="00794BBD">
            <w:pPr>
              <w:jc w:val="center"/>
              <w:rPr>
                <w:b/>
                <w:sz w:val="22"/>
              </w:rPr>
            </w:pPr>
            <w:r w:rsidRPr="00275CF5">
              <w:rPr>
                <w:b/>
                <w:sz w:val="22"/>
              </w:rPr>
              <w:t>Total Units</w:t>
            </w:r>
          </w:p>
        </w:tc>
        <w:tc>
          <w:tcPr>
            <w:tcW w:w="5229" w:type="dxa"/>
            <w:tcBorders>
              <w:top w:val="nil"/>
              <w:left w:val="nil"/>
            </w:tcBorders>
            <w:shd w:val="clear" w:color="auto" w:fill="BFBFBF" w:themeFill="background1" w:themeFillShade="BF"/>
            <w:vAlign w:val="center"/>
          </w:tcPr>
          <w:p w14:paraId="45746025" w14:textId="77777777" w:rsidR="00794BBD" w:rsidRPr="00275CF5" w:rsidRDefault="00794BBD" w:rsidP="00794BBD">
            <w:pPr>
              <w:jc w:val="center"/>
              <w:rPr>
                <w:b/>
                <w:sz w:val="22"/>
              </w:rPr>
            </w:pPr>
            <w:r w:rsidRPr="00275CF5">
              <w:rPr>
                <w:b/>
                <w:sz w:val="22"/>
              </w:rPr>
              <w:t>Graded Units</w:t>
            </w:r>
          </w:p>
        </w:tc>
      </w:tr>
      <w:tr w:rsidR="00794BBD" w:rsidRPr="00275CF5" w14:paraId="4FF93BEF" w14:textId="77777777" w:rsidTr="00497A9C">
        <w:trPr>
          <w:trHeight w:val="674"/>
        </w:trPr>
        <w:tc>
          <w:tcPr>
            <w:tcW w:w="5229" w:type="dxa"/>
            <w:tcBorders>
              <w:bottom w:val="single" w:sz="4" w:space="0" w:color="auto"/>
              <w:right w:val="single" w:sz="4" w:space="0" w:color="auto"/>
            </w:tcBorders>
            <w:vAlign w:val="center"/>
          </w:tcPr>
          <w:p w14:paraId="3EA1F13A" w14:textId="77777777" w:rsidR="00794BBD" w:rsidRPr="00275CF5" w:rsidRDefault="00794BBD" w:rsidP="00F05C0C">
            <w:pPr>
              <w:jc w:val="center"/>
              <w:rPr>
                <w:sz w:val="22"/>
              </w:rPr>
            </w:pPr>
          </w:p>
        </w:tc>
        <w:tc>
          <w:tcPr>
            <w:tcW w:w="5229" w:type="dxa"/>
            <w:tcBorders>
              <w:left w:val="single" w:sz="4" w:space="0" w:color="auto"/>
              <w:bottom w:val="single" w:sz="4" w:space="0" w:color="auto"/>
            </w:tcBorders>
            <w:vAlign w:val="center"/>
          </w:tcPr>
          <w:p w14:paraId="2D812F1D" w14:textId="77777777" w:rsidR="00794BBD" w:rsidRPr="00275CF5" w:rsidRDefault="00794BBD" w:rsidP="00F05C0C">
            <w:pPr>
              <w:jc w:val="center"/>
              <w:rPr>
                <w:sz w:val="22"/>
              </w:rPr>
            </w:pPr>
          </w:p>
        </w:tc>
      </w:tr>
      <w:tr w:rsidR="00794BBD" w:rsidRPr="00275CF5" w14:paraId="4E959194" w14:textId="77777777" w:rsidTr="00497A9C">
        <w:tc>
          <w:tcPr>
            <w:tcW w:w="5229" w:type="dxa"/>
            <w:tcBorders>
              <w:left w:val="nil"/>
              <w:bottom w:val="nil"/>
              <w:right w:val="nil"/>
            </w:tcBorders>
          </w:tcPr>
          <w:p w14:paraId="277D15D8" w14:textId="77777777" w:rsidR="00794BBD" w:rsidRPr="00275CF5" w:rsidRDefault="00794BBD" w:rsidP="00342EC0">
            <w:pPr>
              <w:ind w:left="720" w:right="693"/>
              <w:jc w:val="center"/>
              <w:rPr>
                <w:sz w:val="20"/>
                <w:szCs w:val="20"/>
              </w:rPr>
            </w:pPr>
            <w:r w:rsidRPr="00275CF5">
              <w:rPr>
                <w:sz w:val="20"/>
                <w:szCs w:val="20"/>
              </w:rPr>
              <w:t>Include independent studies, internships, etc. Do not include transfer units.</w:t>
            </w:r>
          </w:p>
        </w:tc>
        <w:tc>
          <w:tcPr>
            <w:tcW w:w="5229" w:type="dxa"/>
            <w:tcBorders>
              <w:left w:val="nil"/>
              <w:bottom w:val="nil"/>
              <w:right w:val="nil"/>
            </w:tcBorders>
          </w:tcPr>
          <w:p w14:paraId="32CF1CED" w14:textId="775E9E98" w:rsidR="00794BBD" w:rsidRPr="00275CF5" w:rsidRDefault="00D437D4" w:rsidP="00342EC0">
            <w:pPr>
              <w:ind w:left="711" w:right="702"/>
              <w:jc w:val="center"/>
              <w:rPr>
                <w:sz w:val="20"/>
                <w:szCs w:val="20"/>
              </w:rPr>
            </w:pPr>
            <w:r>
              <w:rPr>
                <w:sz w:val="20"/>
                <w:szCs w:val="20"/>
              </w:rPr>
              <w:t>Do not include</w:t>
            </w:r>
            <w:r w:rsidR="00794BBD" w:rsidRPr="00275CF5">
              <w:rPr>
                <w:sz w:val="20"/>
                <w:szCs w:val="20"/>
              </w:rPr>
              <w:t xml:space="preserve"> independent studies, internships, transfer units, etc.</w:t>
            </w:r>
          </w:p>
        </w:tc>
      </w:tr>
    </w:tbl>
    <w:p w14:paraId="5AFEC0AB" w14:textId="77777777" w:rsidR="00065F66" w:rsidRPr="00275CF5" w:rsidRDefault="00065F66" w:rsidP="00714767">
      <w:pPr>
        <w:rPr>
          <w:sz w:val="22"/>
        </w:rPr>
      </w:pPr>
    </w:p>
    <w:p w14:paraId="280F9429" w14:textId="77777777" w:rsidR="00D4036E" w:rsidRPr="00275CF5" w:rsidRDefault="00D4036E" w:rsidP="00714767">
      <w:pPr>
        <w:rPr>
          <w:sz w:val="22"/>
        </w:rPr>
      </w:pPr>
    </w:p>
    <w:tbl>
      <w:tblPr>
        <w:tblStyle w:val="TableGrid"/>
        <w:tblW w:w="10458" w:type="dxa"/>
        <w:tblLook w:val="04A0" w:firstRow="1" w:lastRow="0" w:firstColumn="1" w:lastColumn="0" w:noHBand="0" w:noVBand="1"/>
      </w:tblPr>
      <w:tblGrid>
        <w:gridCol w:w="1818"/>
        <w:gridCol w:w="8640"/>
      </w:tblGrid>
      <w:tr w:rsidR="00A171DE" w:rsidRPr="00275CF5" w14:paraId="4CFF4B6C" w14:textId="77777777" w:rsidTr="00E02952">
        <w:trPr>
          <w:trHeight w:hRule="exact" w:val="360"/>
        </w:trPr>
        <w:tc>
          <w:tcPr>
            <w:tcW w:w="1818" w:type="dxa"/>
            <w:shd w:val="clear" w:color="auto" w:fill="BFBFBF" w:themeFill="background1" w:themeFillShade="BF"/>
            <w:vAlign w:val="center"/>
          </w:tcPr>
          <w:p w14:paraId="7A323B28" w14:textId="77777777" w:rsidR="00A171DE" w:rsidRPr="00275CF5" w:rsidRDefault="00A171DE" w:rsidP="00794BBD">
            <w:pPr>
              <w:rPr>
                <w:b/>
                <w:sz w:val="22"/>
              </w:rPr>
            </w:pPr>
            <w:r w:rsidRPr="00275CF5">
              <w:rPr>
                <w:b/>
                <w:sz w:val="22"/>
              </w:rPr>
              <w:t>Current GPA</w:t>
            </w:r>
          </w:p>
        </w:tc>
        <w:tc>
          <w:tcPr>
            <w:tcW w:w="8640" w:type="dxa"/>
            <w:tcBorders>
              <w:top w:val="nil"/>
              <w:right w:val="nil"/>
            </w:tcBorders>
            <w:vAlign w:val="center"/>
          </w:tcPr>
          <w:p w14:paraId="741461F8" w14:textId="77777777" w:rsidR="00A171DE" w:rsidRPr="00275CF5" w:rsidRDefault="00A171DE" w:rsidP="00D4036E">
            <w:pPr>
              <w:ind w:left="162"/>
              <w:rPr>
                <w:sz w:val="22"/>
              </w:rPr>
            </w:pPr>
          </w:p>
        </w:tc>
      </w:tr>
    </w:tbl>
    <w:p w14:paraId="78FD5076" w14:textId="77777777" w:rsidR="00A171DE" w:rsidRPr="00275CF5" w:rsidRDefault="00A171DE" w:rsidP="00714767">
      <w:pPr>
        <w:rPr>
          <w:b/>
          <w:sz w:val="22"/>
        </w:rPr>
      </w:pPr>
    </w:p>
    <w:p w14:paraId="78B3B1CC" w14:textId="77777777" w:rsidR="00D4036E" w:rsidRPr="00275CF5" w:rsidRDefault="00D4036E" w:rsidP="00714767">
      <w:pPr>
        <w:rPr>
          <w:b/>
          <w:sz w:val="22"/>
        </w:rPr>
      </w:pPr>
    </w:p>
    <w:tbl>
      <w:tblPr>
        <w:tblStyle w:val="TableGrid"/>
        <w:tblW w:w="10458" w:type="dxa"/>
        <w:tblLook w:val="04A0" w:firstRow="1" w:lastRow="0" w:firstColumn="1" w:lastColumn="0" w:noHBand="0" w:noVBand="1"/>
      </w:tblPr>
      <w:tblGrid>
        <w:gridCol w:w="2614"/>
        <w:gridCol w:w="2615"/>
        <w:gridCol w:w="2614"/>
        <w:gridCol w:w="2615"/>
      </w:tblGrid>
      <w:tr w:rsidR="00F05C0C" w:rsidRPr="00275CF5" w14:paraId="36E37EB2" w14:textId="77777777" w:rsidTr="00275CF5">
        <w:trPr>
          <w:trHeight w:hRule="exact" w:val="360"/>
        </w:trPr>
        <w:tc>
          <w:tcPr>
            <w:tcW w:w="10458" w:type="dxa"/>
            <w:gridSpan w:val="4"/>
            <w:tcBorders>
              <w:bottom w:val="nil"/>
            </w:tcBorders>
            <w:shd w:val="clear" w:color="auto" w:fill="BFBFBF" w:themeFill="background1" w:themeFillShade="BF"/>
            <w:vAlign w:val="center"/>
          </w:tcPr>
          <w:p w14:paraId="2904C417" w14:textId="77777777" w:rsidR="00F05C0C" w:rsidRPr="00275CF5" w:rsidRDefault="00F05C0C" w:rsidP="00794BBD">
            <w:pPr>
              <w:rPr>
                <w:sz w:val="22"/>
              </w:rPr>
            </w:pPr>
            <w:r w:rsidRPr="00275CF5">
              <w:rPr>
                <w:b/>
                <w:sz w:val="22"/>
              </w:rPr>
              <w:t>Incompletes</w:t>
            </w:r>
          </w:p>
        </w:tc>
      </w:tr>
      <w:tr w:rsidR="00A171DE" w:rsidRPr="00275CF5" w14:paraId="6C1D212A" w14:textId="77777777" w:rsidTr="00275CF5">
        <w:trPr>
          <w:trHeight w:hRule="exact" w:val="360"/>
        </w:trPr>
        <w:tc>
          <w:tcPr>
            <w:tcW w:w="2614" w:type="dxa"/>
            <w:tcBorders>
              <w:top w:val="nil"/>
            </w:tcBorders>
            <w:shd w:val="clear" w:color="auto" w:fill="BFBFBF" w:themeFill="background1" w:themeFillShade="BF"/>
            <w:vAlign w:val="center"/>
          </w:tcPr>
          <w:p w14:paraId="5080526C" w14:textId="77777777" w:rsidR="00A171DE" w:rsidRPr="00275CF5" w:rsidRDefault="00A171DE" w:rsidP="00794BBD">
            <w:pPr>
              <w:jc w:val="center"/>
              <w:rPr>
                <w:b/>
                <w:sz w:val="22"/>
              </w:rPr>
            </w:pPr>
            <w:r w:rsidRPr="00275CF5">
              <w:rPr>
                <w:b/>
                <w:sz w:val="22"/>
              </w:rPr>
              <w:t>Year &amp; Semester</w:t>
            </w:r>
          </w:p>
        </w:tc>
        <w:tc>
          <w:tcPr>
            <w:tcW w:w="2615" w:type="dxa"/>
            <w:tcBorders>
              <w:top w:val="nil"/>
            </w:tcBorders>
            <w:shd w:val="clear" w:color="auto" w:fill="BFBFBF" w:themeFill="background1" w:themeFillShade="BF"/>
            <w:vAlign w:val="center"/>
          </w:tcPr>
          <w:p w14:paraId="65E6D851" w14:textId="6A75BA03" w:rsidR="00A171DE" w:rsidRPr="00275CF5" w:rsidRDefault="00794BBD" w:rsidP="00794BBD">
            <w:pPr>
              <w:jc w:val="center"/>
              <w:rPr>
                <w:b/>
                <w:sz w:val="22"/>
              </w:rPr>
            </w:pPr>
            <w:r w:rsidRPr="00275CF5">
              <w:rPr>
                <w:b/>
                <w:sz w:val="22"/>
              </w:rPr>
              <w:t>Course No.</w:t>
            </w:r>
            <w:r w:rsidR="00A171DE" w:rsidRPr="00275CF5">
              <w:rPr>
                <w:b/>
                <w:sz w:val="22"/>
              </w:rPr>
              <w:t xml:space="preserve"> &amp; Name</w:t>
            </w:r>
          </w:p>
        </w:tc>
        <w:tc>
          <w:tcPr>
            <w:tcW w:w="2614" w:type="dxa"/>
            <w:tcBorders>
              <w:top w:val="nil"/>
            </w:tcBorders>
            <w:shd w:val="clear" w:color="auto" w:fill="BFBFBF" w:themeFill="background1" w:themeFillShade="BF"/>
            <w:vAlign w:val="center"/>
          </w:tcPr>
          <w:p w14:paraId="64058885" w14:textId="77777777" w:rsidR="00A171DE" w:rsidRPr="00275CF5" w:rsidRDefault="00A171DE" w:rsidP="00794BBD">
            <w:pPr>
              <w:jc w:val="center"/>
              <w:rPr>
                <w:b/>
                <w:sz w:val="22"/>
              </w:rPr>
            </w:pPr>
            <w:r w:rsidRPr="00275CF5">
              <w:rPr>
                <w:b/>
                <w:sz w:val="22"/>
              </w:rPr>
              <w:t>Professor</w:t>
            </w:r>
          </w:p>
        </w:tc>
        <w:tc>
          <w:tcPr>
            <w:tcW w:w="2615" w:type="dxa"/>
            <w:tcBorders>
              <w:top w:val="nil"/>
            </w:tcBorders>
            <w:shd w:val="clear" w:color="auto" w:fill="BFBFBF" w:themeFill="background1" w:themeFillShade="BF"/>
            <w:vAlign w:val="center"/>
          </w:tcPr>
          <w:p w14:paraId="43534223" w14:textId="77777777" w:rsidR="00A171DE" w:rsidRPr="00275CF5" w:rsidRDefault="00A171DE" w:rsidP="00794BBD">
            <w:pPr>
              <w:jc w:val="center"/>
              <w:rPr>
                <w:b/>
                <w:sz w:val="22"/>
              </w:rPr>
            </w:pPr>
            <w:r w:rsidRPr="00275CF5">
              <w:rPr>
                <w:b/>
                <w:sz w:val="22"/>
              </w:rPr>
              <w:t>Date Completed</w:t>
            </w:r>
          </w:p>
        </w:tc>
      </w:tr>
      <w:tr w:rsidR="00A171DE" w:rsidRPr="00275CF5" w14:paraId="219BB16D" w14:textId="77777777" w:rsidTr="00275CF5">
        <w:trPr>
          <w:trHeight w:hRule="exact" w:val="360"/>
        </w:trPr>
        <w:tc>
          <w:tcPr>
            <w:tcW w:w="2614" w:type="dxa"/>
            <w:vAlign w:val="center"/>
          </w:tcPr>
          <w:p w14:paraId="348E2A0A" w14:textId="77777777" w:rsidR="00A171DE" w:rsidRPr="00275CF5" w:rsidRDefault="00A171DE" w:rsidP="00D4036E">
            <w:pPr>
              <w:rPr>
                <w:sz w:val="22"/>
              </w:rPr>
            </w:pPr>
          </w:p>
        </w:tc>
        <w:tc>
          <w:tcPr>
            <w:tcW w:w="2615" w:type="dxa"/>
            <w:vAlign w:val="center"/>
          </w:tcPr>
          <w:p w14:paraId="4CEF9D1F" w14:textId="77777777" w:rsidR="00A171DE" w:rsidRPr="00275CF5" w:rsidRDefault="00A171DE" w:rsidP="00D4036E">
            <w:pPr>
              <w:rPr>
                <w:sz w:val="22"/>
              </w:rPr>
            </w:pPr>
          </w:p>
        </w:tc>
        <w:tc>
          <w:tcPr>
            <w:tcW w:w="2614" w:type="dxa"/>
            <w:vAlign w:val="center"/>
          </w:tcPr>
          <w:p w14:paraId="1F6B7FC9" w14:textId="77777777" w:rsidR="00A171DE" w:rsidRPr="00275CF5" w:rsidRDefault="00A171DE" w:rsidP="00D4036E">
            <w:pPr>
              <w:rPr>
                <w:sz w:val="22"/>
              </w:rPr>
            </w:pPr>
          </w:p>
        </w:tc>
        <w:tc>
          <w:tcPr>
            <w:tcW w:w="2615" w:type="dxa"/>
            <w:vAlign w:val="center"/>
          </w:tcPr>
          <w:p w14:paraId="7A120D78" w14:textId="77777777" w:rsidR="00A171DE" w:rsidRPr="00275CF5" w:rsidRDefault="00A171DE" w:rsidP="00D4036E">
            <w:pPr>
              <w:rPr>
                <w:sz w:val="22"/>
              </w:rPr>
            </w:pPr>
          </w:p>
        </w:tc>
      </w:tr>
      <w:tr w:rsidR="00F05C0C" w:rsidRPr="00275CF5" w14:paraId="31C4E5BF" w14:textId="77777777" w:rsidTr="00275CF5">
        <w:trPr>
          <w:trHeight w:hRule="exact" w:val="360"/>
        </w:trPr>
        <w:tc>
          <w:tcPr>
            <w:tcW w:w="2614" w:type="dxa"/>
            <w:vAlign w:val="center"/>
          </w:tcPr>
          <w:p w14:paraId="6CF26DC0" w14:textId="77777777" w:rsidR="00F05C0C" w:rsidRPr="00275CF5" w:rsidRDefault="00F05C0C" w:rsidP="00D4036E">
            <w:pPr>
              <w:rPr>
                <w:sz w:val="22"/>
              </w:rPr>
            </w:pPr>
          </w:p>
        </w:tc>
        <w:tc>
          <w:tcPr>
            <w:tcW w:w="2615" w:type="dxa"/>
            <w:vAlign w:val="center"/>
          </w:tcPr>
          <w:p w14:paraId="2B693FB5" w14:textId="77777777" w:rsidR="00F05C0C" w:rsidRPr="00275CF5" w:rsidRDefault="00F05C0C" w:rsidP="00D4036E">
            <w:pPr>
              <w:rPr>
                <w:sz w:val="22"/>
              </w:rPr>
            </w:pPr>
          </w:p>
        </w:tc>
        <w:tc>
          <w:tcPr>
            <w:tcW w:w="2614" w:type="dxa"/>
            <w:vAlign w:val="center"/>
          </w:tcPr>
          <w:p w14:paraId="7FBDDE63" w14:textId="77777777" w:rsidR="00F05C0C" w:rsidRPr="00275CF5" w:rsidRDefault="00F05C0C" w:rsidP="00D4036E">
            <w:pPr>
              <w:rPr>
                <w:sz w:val="22"/>
              </w:rPr>
            </w:pPr>
          </w:p>
        </w:tc>
        <w:tc>
          <w:tcPr>
            <w:tcW w:w="2615" w:type="dxa"/>
            <w:vAlign w:val="center"/>
          </w:tcPr>
          <w:p w14:paraId="320981CA" w14:textId="77777777" w:rsidR="00F05C0C" w:rsidRPr="00275CF5" w:rsidRDefault="00F05C0C" w:rsidP="00D4036E">
            <w:pPr>
              <w:rPr>
                <w:sz w:val="22"/>
              </w:rPr>
            </w:pPr>
          </w:p>
        </w:tc>
      </w:tr>
    </w:tbl>
    <w:p w14:paraId="37773888" w14:textId="77777777" w:rsidR="00A95D1B" w:rsidRDefault="00A95D1B" w:rsidP="00A95D1B">
      <w:pPr>
        <w:rPr>
          <w:sz w:val="22"/>
        </w:rPr>
      </w:pPr>
    </w:p>
    <w:p w14:paraId="241612BF" w14:textId="12C7C7D5" w:rsidR="00A95D1B" w:rsidRPr="00FC1FAC" w:rsidRDefault="008672B2" w:rsidP="00A95D1B">
      <w:pPr>
        <w:rPr>
          <w:b/>
          <w:i/>
          <w:sz w:val="22"/>
        </w:rPr>
      </w:pPr>
      <w:r w:rsidRPr="00FC1FAC">
        <w:rPr>
          <w:b/>
          <w:i/>
          <w:sz w:val="22"/>
        </w:rPr>
        <w:t xml:space="preserve">Incompletes must be satisfied within 6 weeks of the end </w:t>
      </w:r>
      <w:r w:rsidR="0062315F">
        <w:rPr>
          <w:b/>
          <w:i/>
          <w:sz w:val="22"/>
        </w:rPr>
        <w:t xml:space="preserve">of the </w:t>
      </w:r>
      <w:r w:rsidR="00A42F94">
        <w:rPr>
          <w:b/>
          <w:i/>
          <w:sz w:val="22"/>
        </w:rPr>
        <w:t>spring</w:t>
      </w:r>
      <w:bookmarkStart w:id="0" w:name="_GoBack"/>
      <w:bookmarkEnd w:id="0"/>
      <w:r w:rsidR="0062315F">
        <w:rPr>
          <w:b/>
          <w:i/>
          <w:sz w:val="22"/>
        </w:rPr>
        <w:t xml:space="preserve"> semester. The student</w:t>
      </w:r>
      <w:r w:rsidRPr="00FC1FAC">
        <w:rPr>
          <w:b/>
          <w:i/>
          <w:sz w:val="22"/>
        </w:rPr>
        <w:t xml:space="preserve"> should notify the DGS when they submit outstanding coursework</w:t>
      </w:r>
      <w:r w:rsidR="009C556B">
        <w:rPr>
          <w:b/>
          <w:i/>
          <w:sz w:val="22"/>
        </w:rPr>
        <w:t>. The DGS will</w:t>
      </w:r>
      <w:r w:rsidR="0062315F">
        <w:rPr>
          <w:b/>
          <w:i/>
          <w:sz w:val="22"/>
        </w:rPr>
        <w:t xml:space="preserve"> then</w:t>
      </w:r>
      <w:r w:rsidRPr="00FC1FAC">
        <w:rPr>
          <w:b/>
          <w:i/>
          <w:sz w:val="22"/>
        </w:rPr>
        <w:t xml:space="preserve"> </w:t>
      </w:r>
      <w:r w:rsidR="009C556B">
        <w:rPr>
          <w:b/>
          <w:i/>
          <w:sz w:val="22"/>
        </w:rPr>
        <w:t>request</w:t>
      </w:r>
      <w:r w:rsidRPr="00FC1FAC">
        <w:rPr>
          <w:b/>
          <w:i/>
          <w:sz w:val="22"/>
        </w:rPr>
        <w:t xml:space="preserve"> </w:t>
      </w:r>
      <w:r w:rsidR="009C556B">
        <w:rPr>
          <w:b/>
          <w:i/>
          <w:sz w:val="22"/>
        </w:rPr>
        <w:t>confirmation</w:t>
      </w:r>
      <w:r w:rsidRPr="00FC1FAC">
        <w:rPr>
          <w:b/>
          <w:i/>
          <w:sz w:val="22"/>
        </w:rPr>
        <w:t xml:space="preserve"> from the course professor</w:t>
      </w:r>
      <w:r w:rsidR="009C556B">
        <w:rPr>
          <w:b/>
          <w:i/>
          <w:sz w:val="22"/>
        </w:rPr>
        <w:t>.</w:t>
      </w:r>
      <w:r w:rsidR="0062315F">
        <w:rPr>
          <w:b/>
          <w:i/>
          <w:sz w:val="22"/>
        </w:rPr>
        <w:t xml:space="preserve"> The conditions for Qualifying cannot be met until </w:t>
      </w:r>
      <w:r w:rsidR="00671DF4">
        <w:rPr>
          <w:b/>
          <w:i/>
          <w:sz w:val="22"/>
        </w:rPr>
        <w:t>all course grade</w:t>
      </w:r>
      <w:r w:rsidR="0062315F">
        <w:rPr>
          <w:b/>
          <w:i/>
          <w:sz w:val="22"/>
        </w:rPr>
        <w:t>s</w:t>
      </w:r>
      <w:r w:rsidR="00671DF4">
        <w:rPr>
          <w:b/>
          <w:i/>
          <w:sz w:val="22"/>
        </w:rPr>
        <w:t xml:space="preserve"> are</w:t>
      </w:r>
      <w:r w:rsidR="0062315F">
        <w:rPr>
          <w:b/>
          <w:i/>
          <w:sz w:val="22"/>
        </w:rPr>
        <w:t xml:space="preserve"> posted.</w:t>
      </w:r>
    </w:p>
    <w:p w14:paraId="4CB90EA8" w14:textId="77777777" w:rsidR="008672B2" w:rsidRPr="00275CF5" w:rsidRDefault="008672B2" w:rsidP="00A95D1B">
      <w:pPr>
        <w:rPr>
          <w:sz w:val="22"/>
        </w:rPr>
      </w:pPr>
    </w:p>
    <w:tbl>
      <w:tblPr>
        <w:tblStyle w:val="TableGrid"/>
        <w:tblW w:w="10440" w:type="dxa"/>
        <w:tblLook w:val="04A0" w:firstRow="1" w:lastRow="0" w:firstColumn="1" w:lastColumn="0" w:noHBand="0" w:noVBand="1"/>
      </w:tblPr>
      <w:tblGrid>
        <w:gridCol w:w="1133"/>
        <w:gridCol w:w="6145"/>
        <w:gridCol w:w="718"/>
        <w:gridCol w:w="2444"/>
      </w:tblGrid>
      <w:tr w:rsidR="004B3610" w:rsidRPr="00275CF5" w14:paraId="653FF97F" w14:textId="77777777" w:rsidTr="004B3610">
        <w:trPr>
          <w:trHeight w:hRule="exact" w:val="360"/>
        </w:trPr>
        <w:tc>
          <w:tcPr>
            <w:tcW w:w="1133" w:type="dxa"/>
            <w:shd w:val="clear" w:color="auto" w:fill="BFBFBF" w:themeFill="background1" w:themeFillShade="BF"/>
            <w:vAlign w:val="center"/>
          </w:tcPr>
          <w:p w14:paraId="228B63FC" w14:textId="0A97CAC8" w:rsidR="004B3610" w:rsidRPr="00275CF5" w:rsidRDefault="004B3610" w:rsidP="00D705A8">
            <w:pPr>
              <w:rPr>
                <w:b/>
                <w:sz w:val="22"/>
              </w:rPr>
            </w:pPr>
            <w:r>
              <w:rPr>
                <w:b/>
                <w:sz w:val="22"/>
              </w:rPr>
              <w:t>Signature</w:t>
            </w:r>
          </w:p>
        </w:tc>
        <w:tc>
          <w:tcPr>
            <w:tcW w:w="6145" w:type="dxa"/>
            <w:tcBorders>
              <w:top w:val="nil"/>
            </w:tcBorders>
            <w:vAlign w:val="center"/>
          </w:tcPr>
          <w:p w14:paraId="5887888C" w14:textId="77777777" w:rsidR="004B3610" w:rsidRPr="00275CF5" w:rsidRDefault="004B3610" w:rsidP="004B3610">
            <w:pPr>
              <w:ind w:left="37"/>
              <w:rPr>
                <w:sz w:val="22"/>
              </w:rPr>
            </w:pPr>
          </w:p>
        </w:tc>
        <w:tc>
          <w:tcPr>
            <w:tcW w:w="718" w:type="dxa"/>
            <w:shd w:val="clear" w:color="auto" w:fill="BFBFBF" w:themeFill="background1" w:themeFillShade="BF"/>
            <w:vAlign w:val="center"/>
          </w:tcPr>
          <w:p w14:paraId="628E4012" w14:textId="77777777" w:rsidR="004B3610" w:rsidRPr="00275CF5" w:rsidRDefault="004B3610" w:rsidP="00D705A8">
            <w:pPr>
              <w:rPr>
                <w:b/>
                <w:sz w:val="22"/>
              </w:rPr>
            </w:pPr>
            <w:r w:rsidRPr="00275CF5">
              <w:rPr>
                <w:b/>
                <w:sz w:val="22"/>
              </w:rPr>
              <w:t>Date</w:t>
            </w:r>
          </w:p>
        </w:tc>
        <w:tc>
          <w:tcPr>
            <w:tcW w:w="2444" w:type="dxa"/>
            <w:tcBorders>
              <w:top w:val="nil"/>
              <w:right w:val="nil"/>
            </w:tcBorders>
            <w:vAlign w:val="center"/>
          </w:tcPr>
          <w:p w14:paraId="063CCAE2" w14:textId="77777777" w:rsidR="004B3610" w:rsidRPr="00275CF5" w:rsidRDefault="004B3610" w:rsidP="00713C7D">
            <w:pPr>
              <w:ind w:left="194"/>
              <w:rPr>
                <w:sz w:val="22"/>
              </w:rPr>
            </w:pPr>
          </w:p>
        </w:tc>
      </w:tr>
    </w:tbl>
    <w:p w14:paraId="01B738B6" w14:textId="77777777" w:rsidR="00FC1FAC" w:rsidRDefault="00FC1FAC">
      <w:pPr>
        <w:rPr>
          <w:sz w:val="22"/>
        </w:rPr>
      </w:pPr>
      <w:r>
        <w:rPr>
          <w:sz w:val="22"/>
        </w:rPr>
        <w:br w:type="page"/>
      </w:r>
    </w:p>
    <w:p w14:paraId="0B6349F7" w14:textId="45204300" w:rsidR="00714767" w:rsidRPr="00275CF5" w:rsidRDefault="00714767" w:rsidP="00714767">
      <w:pPr>
        <w:rPr>
          <w:sz w:val="22"/>
        </w:rPr>
      </w:pPr>
      <w:r w:rsidRPr="00275CF5">
        <w:rPr>
          <w:sz w:val="22"/>
        </w:rPr>
        <w:lastRenderedPageBreak/>
        <w:t>* Under special circumstances (e.g., disability or family obligation) a student may petition to extend the timeline for completing at least 15 units of graded coursework for an additional (third) semester.  Students working under an extended timeline will be held to the same criteria but over three semesters (i.e., a 3.6 minimum GPA over three semester; no more than two incompletes over three semesters; all incompletes finished within 6 weeks of the third semester).  Students wishing to pursue this option should petition to do so no later than the last day of their first semester.  The petition consists of a formal letter addressed to the Director of Graduate Studies (DGS) outlining the reasons for extending the timeline, along with a letter of support from the student’s Major Advisor.  The DGS will make a determination within 4 weeks of receiving the petition; should the DGS decline the petition, it will automatically be forwarded to the faculty members of the Curriculum Committee for review.  The determination of the Curriculum Committee will be final.</w:t>
      </w:r>
    </w:p>
    <w:p w14:paraId="7B194A11" w14:textId="77777777" w:rsidR="00714767" w:rsidRPr="00275CF5" w:rsidRDefault="00714767" w:rsidP="00714767">
      <w:pPr>
        <w:rPr>
          <w:sz w:val="22"/>
        </w:rPr>
      </w:pPr>
    </w:p>
    <w:p w14:paraId="143B5701" w14:textId="77777777" w:rsidR="00714767" w:rsidRPr="00275CF5" w:rsidRDefault="00714767" w:rsidP="00714767">
      <w:pPr>
        <w:rPr>
          <w:sz w:val="22"/>
        </w:rPr>
      </w:pPr>
      <w:r w:rsidRPr="00275CF5">
        <w:rPr>
          <w:sz w:val="22"/>
        </w:rPr>
        <w:t>** In extraordinary circumstances (e.g., health emergency) a student may petition to extend the deadline for satisfying Incompletes.  Students must make this petition before the six-week deadline has expired.  The petition consists of a formal letter addressed to the Director of Graduate Studies (DGS) outlining the reasons for extending the timeline.  The DGS will make a determination within two weeks of receiving the petition; should the DGS decline the petition, it will automatically be forwarded to the Department Head for review.  The determination of the Department Head will be final.</w:t>
      </w:r>
    </w:p>
    <w:p w14:paraId="43857956" w14:textId="77777777" w:rsidR="00714767" w:rsidRPr="00275CF5" w:rsidRDefault="00714767" w:rsidP="00714767">
      <w:pPr>
        <w:rPr>
          <w:sz w:val="22"/>
        </w:rPr>
      </w:pPr>
    </w:p>
    <w:p w14:paraId="728CA604" w14:textId="77777777" w:rsidR="00714767" w:rsidRPr="00275CF5" w:rsidRDefault="00714767" w:rsidP="00714767">
      <w:pPr>
        <w:rPr>
          <w:sz w:val="22"/>
          <w:u w:val="single"/>
        </w:rPr>
      </w:pPr>
      <w:r w:rsidRPr="00275CF5">
        <w:rPr>
          <w:sz w:val="22"/>
          <w:u w:val="single"/>
        </w:rPr>
        <w:t>Petition to Continue in the Program</w:t>
      </w:r>
    </w:p>
    <w:p w14:paraId="18C9D620" w14:textId="77777777" w:rsidR="00714767" w:rsidRPr="00275CF5" w:rsidRDefault="00714767" w:rsidP="00714767">
      <w:pPr>
        <w:rPr>
          <w:sz w:val="22"/>
        </w:rPr>
      </w:pPr>
      <w:r w:rsidRPr="00275CF5">
        <w:rPr>
          <w:sz w:val="22"/>
        </w:rPr>
        <w:t>Students who do not meet the criteria for Qualifying elaborated above may petition to continue in the program.  The student must write a letter to the Director of Graduate Studies (DGS) outlining their argument for making an exception in their case to the Qualifying criteria.  The student must also acquire a letter of support from their Major Advisor (their advisor at the end of the second semester of their program).  The petition and letter of support must be received by the DGS no later than five (5) business days before the first day of the semester after the student is notified of their failure to Qualify. The DGS will bring the petition and letter of support to the faculty members of the Curriculum Committee, who will make a final determination within two weeks of the start of the semester (the deadline to drop all courses and be refunded for tuition and fees). There is no further appeal of the decision by the Curriculum Committee.  During the semester in which the student petitions for continuance, they must maintain continuous enrollment. As they are considered not making sufficient progress in their program, however, the student will be ineligible for departmental employment or funding during this semester.</w:t>
      </w:r>
    </w:p>
    <w:p w14:paraId="1228480B" w14:textId="77777777" w:rsidR="000D71BE" w:rsidRPr="00275CF5" w:rsidRDefault="000D71BE" w:rsidP="00714767">
      <w:pPr>
        <w:rPr>
          <w:sz w:val="22"/>
        </w:rPr>
      </w:pPr>
    </w:p>
    <w:sectPr w:rsidR="000D71BE" w:rsidRPr="00275CF5" w:rsidSect="00222009">
      <w:pgSz w:w="12240" w:h="15840"/>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C2F29"/>
    <w:multiLevelType w:val="hybridMultilevel"/>
    <w:tmpl w:val="79F64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96192B"/>
    <w:multiLevelType w:val="hybridMultilevel"/>
    <w:tmpl w:val="468266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767"/>
    <w:rsid w:val="00065F66"/>
    <w:rsid w:val="000D71BE"/>
    <w:rsid w:val="00222009"/>
    <w:rsid w:val="00275CF5"/>
    <w:rsid w:val="00277BE2"/>
    <w:rsid w:val="00296A28"/>
    <w:rsid w:val="00342EC0"/>
    <w:rsid w:val="00482BBB"/>
    <w:rsid w:val="00497A9C"/>
    <w:rsid w:val="004B3610"/>
    <w:rsid w:val="004B5F86"/>
    <w:rsid w:val="004C7D04"/>
    <w:rsid w:val="0062315F"/>
    <w:rsid w:val="00671DF4"/>
    <w:rsid w:val="00713C7D"/>
    <w:rsid w:val="00714767"/>
    <w:rsid w:val="00794BBD"/>
    <w:rsid w:val="008672B2"/>
    <w:rsid w:val="009C556B"/>
    <w:rsid w:val="009D718B"/>
    <w:rsid w:val="00A171DE"/>
    <w:rsid w:val="00A42F94"/>
    <w:rsid w:val="00A95D1B"/>
    <w:rsid w:val="00B85F8A"/>
    <w:rsid w:val="00D12390"/>
    <w:rsid w:val="00D4036E"/>
    <w:rsid w:val="00D437D4"/>
    <w:rsid w:val="00D705A8"/>
    <w:rsid w:val="00E02952"/>
    <w:rsid w:val="00E87225"/>
    <w:rsid w:val="00EC78E3"/>
    <w:rsid w:val="00F05C0C"/>
    <w:rsid w:val="00F43DF6"/>
    <w:rsid w:val="00FC1FAC"/>
    <w:rsid w:val="00FE7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171C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767"/>
    <w:rPr>
      <w:rFonts w:ascii="Times New Roman" w:eastAsiaTheme="minorHAnsi"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767"/>
    <w:pPr>
      <w:ind w:left="720"/>
      <w:contextualSpacing/>
    </w:pPr>
  </w:style>
  <w:style w:type="table" w:styleId="TableGrid">
    <w:name w:val="Table Grid"/>
    <w:basedOn w:val="TableNormal"/>
    <w:uiPriority w:val="59"/>
    <w:rsid w:val="004B5F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4B5F8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
    <w:name w:val="Medium Shading 2"/>
    <w:basedOn w:val="TableNormal"/>
    <w:uiPriority w:val="64"/>
    <w:rsid w:val="004B5F8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
    <w:name w:val="Medium List 2"/>
    <w:basedOn w:val="TableNormal"/>
    <w:uiPriority w:val="66"/>
    <w:rsid w:val="004B5F86"/>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6">
    <w:name w:val="Colorful List Accent 6"/>
    <w:basedOn w:val="TableNormal"/>
    <w:uiPriority w:val="72"/>
    <w:rsid w:val="004B5F86"/>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LightList">
    <w:name w:val="Light List"/>
    <w:basedOn w:val="TableNormal"/>
    <w:uiPriority w:val="61"/>
    <w:rsid w:val="004B5F8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4B5F8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
    <w:name w:val="Light Grid"/>
    <w:basedOn w:val="TableNormal"/>
    <w:uiPriority w:val="62"/>
    <w:rsid w:val="004B5F8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767"/>
    <w:rPr>
      <w:rFonts w:ascii="Times New Roman" w:eastAsiaTheme="minorHAnsi"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767"/>
    <w:pPr>
      <w:ind w:left="720"/>
      <w:contextualSpacing/>
    </w:pPr>
  </w:style>
  <w:style w:type="table" w:styleId="TableGrid">
    <w:name w:val="Table Grid"/>
    <w:basedOn w:val="TableNormal"/>
    <w:uiPriority w:val="59"/>
    <w:rsid w:val="004B5F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4B5F8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
    <w:name w:val="Medium Shading 2"/>
    <w:basedOn w:val="TableNormal"/>
    <w:uiPriority w:val="64"/>
    <w:rsid w:val="004B5F8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
    <w:name w:val="Medium List 2"/>
    <w:basedOn w:val="TableNormal"/>
    <w:uiPriority w:val="66"/>
    <w:rsid w:val="004B5F86"/>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6">
    <w:name w:val="Colorful List Accent 6"/>
    <w:basedOn w:val="TableNormal"/>
    <w:uiPriority w:val="72"/>
    <w:rsid w:val="004B5F86"/>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LightList">
    <w:name w:val="Light List"/>
    <w:basedOn w:val="TableNormal"/>
    <w:uiPriority w:val="61"/>
    <w:rsid w:val="004B5F8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4B5F8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
    <w:name w:val="Light Grid"/>
    <w:basedOn w:val="TableNormal"/>
    <w:uiPriority w:val="62"/>
    <w:rsid w:val="004B5F8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C198148-A561-3648-83F7-5D1D7F0CF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689</Words>
  <Characters>3928</Characters>
  <Application>Microsoft Macintosh Word</Application>
  <DocSecurity>0</DocSecurity>
  <Lines>32</Lines>
  <Paragraphs>9</Paragraphs>
  <ScaleCrop>false</ScaleCrop>
  <Company>University of Arizona</Company>
  <LinksUpToDate>false</LinksUpToDate>
  <CharactersWithSpaces>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Geary</dc:creator>
  <cp:keywords/>
  <dc:description/>
  <cp:lastModifiedBy>Adam Geary</cp:lastModifiedBy>
  <cp:revision>24</cp:revision>
  <dcterms:created xsi:type="dcterms:W3CDTF">2018-06-20T21:40:00Z</dcterms:created>
  <dcterms:modified xsi:type="dcterms:W3CDTF">2018-06-21T19:00:00Z</dcterms:modified>
</cp:coreProperties>
</file>